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2021-06-25 17:13:15</w:t>
      </w:r>
    </w:p>
    <w:bookmarkStart w:id="27" w:name="abstract"/>
    <w:p>
      <w:pPr>
        <w:pStyle w:val="Heading1"/>
      </w:pPr>
      <w:r>
        <w:t xml:space="preserve">Abstract</w:t>
      </w:r>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Cs/>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Cs/>
          <w:i/>
        </w:rPr>
        <w:t xml:space="preserve">wqtrends</w:t>
      </w:r>
      <w:r>
        <w:t xml:space="preserve"> </w:t>
      </w:r>
      <w:r>
        <w:t xml:space="preserve">R package.</w:t>
      </w:r>
    </w:p>
    <w:p>
      <w:pPr>
        <w:pStyle w:val="BodyText"/>
      </w:pPr>
      <w:r>
        <w:rPr>
          <w:iCs/>
          <w:i/>
        </w:rPr>
        <w:t xml:space="preserve">Key words</w:t>
      </w:r>
      <w:r>
        <w:t xml:space="preserve">: chlorophyll, Generalized Additive Models, meta-analysis, San Francisco Estuary, Trend analysis</w:t>
      </w:r>
    </w:p>
    <w:bookmarkEnd w:id="27"/>
    <w:bookmarkStart w:id="30" w:name="introduction"/>
    <w:p>
      <w:pPr>
        <w:pStyle w:val="Heading1"/>
      </w:pPr>
      <w:r>
        <w:t xml:space="preserve">Introduction</w:t>
      </w:r>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w:t>
      </w:r>
      <w:hyperlink w:anchor="ref-Cumming06">
        <w:r>
          <w:rPr>
            <w:rStyle w:val="Hyperlink"/>
          </w:rPr>
          <w:t xml:space="preserve">Cumming et al., 2006</w:t>
        </w:r>
      </w:hyperlink>
      <w:r>
        <w:t xml:space="preserve">;</w:t>
      </w:r>
      <w:r>
        <w:t xml:space="preserve"> </w:t>
      </w:r>
      <w:hyperlink w:anchor="ref-Forbes18">
        <w:r>
          <w:rPr>
            <w:rStyle w:val="Hyperlink"/>
          </w:rPr>
          <w:t xml:space="preserve">Forbes and Xie, 2018</w:t>
        </w:r>
      </w:hyperlink>
      <w:r>
        <w:t xml:space="preserve">;</w:t>
      </w:r>
      <w:r>
        <w:t xml:space="preserve"> </w:t>
      </w:r>
      <w:hyperlink w:anchor="ref-Urquhart98">
        <w:r>
          <w:rPr>
            <w:rStyle w:val="Hyperlink"/>
          </w:rPr>
          <w:t xml:space="preserve">Urquhart et al., 1998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w:t>
      </w:r>
      <w:hyperlink w:anchor="ref-Helsel20">
        <w:r>
          <w:rPr>
            <w:rStyle w:val="Hyperlink"/>
          </w:rPr>
          <w:t xml:space="preserve">Helsel et al., 2020</w:t>
        </w:r>
      </w:hyperlink>
      <w:r>
        <w:t xml:space="preserve">;</w:t>
      </w:r>
      <w:r>
        <w:t xml:space="preserve"> </w:t>
      </w:r>
      <w:hyperlink w:anchor="ref-Hirsch82">
        <w:r>
          <w:rPr>
            <w:rStyle w:val="Hyperlink"/>
          </w:rPr>
          <w:t xml:space="preserve">Hirsch et al., 1982</w:t>
        </w:r>
      </w:hyperlink>
      <w:r>
        <w:t xml:space="preserve">)</w:t>
      </w:r>
      <w:r>
        <w:t xml:space="preserve">.</w:t>
      </w:r>
      <w:r>
        <w:t xml:space="preserve"> </w:t>
      </w:r>
      <w:hyperlink w:anchor="ref-Wan17">
        <w:r>
          <w:rPr>
            <w:rStyle w:val="Hyperlink"/>
          </w:rPr>
          <w:t xml:space="preserve">Wan et al.</w:t>
        </w:r>
      </w:hyperlink>
      <w:r>
        <w:t xml:space="preserve"> </w:t>
      </w:r>
      <w:r>
        <w:t xml:space="preserve">(</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w:t>
      </w:r>
      <w:hyperlink w:anchor="ref-Cleveland90">
        <w:r>
          <w:rPr>
            <w:rStyle w:val="Hyperlink"/>
          </w:rPr>
          <w:t xml:space="preserve">Cleveland et al., 1990</w:t>
        </w:r>
      </w:hyperlink>
      <w:r>
        <w:t xml:space="preserve">;</w:t>
      </w:r>
      <w:r>
        <w:t xml:space="preserve"> </w:t>
      </w:r>
      <w:hyperlink w:anchor="ref-Cloern10">
        <w:r>
          <w:rPr>
            <w:rStyle w:val="Hyperlink"/>
          </w:rPr>
          <w:t xml:space="preserve">Cloern and Jassby, 2010</w:t>
        </w:r>
      </w:hyperlink>
      <w:r>
        <w:t xml:space="preserve">;</w:t>
      </w:r>
      <w:r>
        <w:t xml:space="preserve"> </w:t>
      </w:r>
      <w:hyperlink w:anchor="ref-Stow15">
        <w:r>
          <w:rPr>
            <w:rStyle w:val="Hyperlink"/>
          </w:rPr>
          <w:t xml:space="preserve">Stow et al., 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w:t>
      </w:r>
      <w:r>
        <w:t xml:space="preserve"> </w:t>
      </w:r>
      <w:hyperlink w:anchor="ref-Wan17">
        <w:r>
          <w:rPr>
            <w:rStyle w:val="Hyperlink"/>
          </w:rPr>
          <w:t xml:space="preserve">Wan et al., 2017</w:t>
        </w:r>
      </w:hyperlink>
      <w:r>
        <w:t xml:space="preserve">)</w:t>
      </w:r>
      <w:r>
        <w:t xml:space="preserve">, and it does not usually estimate standard errors to allow hypothesis testing</w:t>
      </w:r>
      <w:r>
        <w:t xml:space="preserve"> </w:t>
      </w:r>
      <w:r>
        <w:t xml:space="preserve">(but see</w:t>
      </w:r>
      <w:r>
        <w:t xml:space="preserve"> </w:t>
      </w:r>
      <w:hyperlink w:anchor="ref-Hafen10">
        <w:r>
          <w:rPr>
            <w:rStyle w:val="Hyperlink"/>
          </w:rPr>
          <w:t xml:space="preserve">Hafen, 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w:t>
      </w:r>
      <w:hyperlink w:anchor="ref-Cloern10">
        <w:r>
          <w:rPr>
            <w:rStyle w:val="Hyperlink"/>
          </w:rPr>
          <w:t xml:space="preserve">Cloern and Jassby, 2010</w:t>
        </w:r>
      </w:hyperlink>
      <w:r>
        <w:t xml:space="preserve">;</w:t>
      </w:r>
      <w:r>
        <w:t xml:space="preserve"> </w:t>
      </w:r>
      <w:hyperlink w:anchor="ref-Navarro12">
        <w:r>
          <w:rPr>
            <w:rStyle w:val="Hyperlink"/>
          </w:rPr>
          <w:t xml:space="preserve">Navarro et al., 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w:t>
      </w:r>
      <w:hyperlink w:anchor="ref-Beck18b">
        <w:r>
          <w:rPr>
            <w:rStyle w:val="Hyperlink"/>
          </w:rPr>
          <w:t xml:space="preserve">Beck et al., 2018</w:t>
        </w:r>
      </w:hyperlink>
      <w:r>
        <w:t xml:space="preserve">;</w:t>
      </w:r>
      <w:r>
        <w:t xml:space="preserve"> </w:t>
      </w:r>
      <w:hyperlink w:anchor="ref-Beck15">
        <w:r>
          <w:rPr>
            <w:rStyle w:val="Hyperlink"/>
          </w:rPr>
          <w:t xml:space="preserve">Beck and Hagy, 2015</w:t>
        </w:r>
      </w:hyperlink>
      <w:r>
        <w:t xml:space="preserve">;</w:t>
      </w:r>
      <w:r>
        <w:t xml:space="preserve"> </w:t>
      </w:r>
      <w:hyperlink w:anchor="ref-Hirsch10">
        <w:r>
          <w:rPr>
            <w:rStyle w:val="Hyperlink"/>
          </w:rPr>
          <w:t xml:space="preserve">Hirsch et al., 2010</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w:t>
      </w:r>
      <w:hyperlink w:anchor="ref-Hirsch15">
        <w:r>
          <w:rPr>
            <w:rStyle w:val="Hyperlink"/>
          </w:rPr>
          <w:t xml:space="preserve">Hirsch et al., 2015</w:t>
        </w:r>
      </w:hyperlink>
      <w:r>
        <w:t xml:space="preserve">)</w:t>
      </w:r>
      <w:r>
        <w:t xml:space="preserve">. Although a useful addition to the original method</w:t>
      </w:r>
      <w:r>
        <w:t xml:space="preserve"> </w:t>
      </w:r>
      <w:r>
        <w:t xml:space="preserve">(</w:t>
      </w:r>
      <w:hyperlink w:anchor="ref-Hirsch10">
        <w:r>
          <w:rPr>
            <w:rStyle w:val="Hyperlink"/>
          </w:rPr>
          <w:t xml:space="preserve">Hirsch et al., 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w:t>
      </w:r>
      <w:hyperlink w:anchor="ref-Haraguchi15">
        <w:r>
          <w:rPr>
            <w:rStyle w:val="Hyperlink"/>
          </w:rPr>
          <w:t xml:space="preserve">Haraguchi et al., 2015</w:t>
        </w:r>
      </w:hyperlink>
      <w:r>
        <w:t xml:space="preserve">;</w:t>
      </w:r>
      <w:r>
        <w:t xml:space="preserve"> </w:t>
      </w:r>
      <w:hyperlink w:anchor="ref-He06">
        <w:r>
          <w:rPr>
            <w:rStyle w:val="Hyperlink"/>
          </w:rPr>
          <w:t xml:space="preserve">He et al., 2006</w:t>
        </w:r>
      </w:hyperlink>
      <w:r>
        <w:t xml:space="preserve">;</w:t>
      </w:r>
      <w:r>
        <w:t xml:space="preserve"> </w:t>
      </w:r>
      <w:hyperlink w:anchor="ref-Morton08">
        <w:r>
          <w:rPr>
            <w:rStyle w:val="Hyperlink"/>
          </w:rPr>
          <w:t xml:space="preserve">Morton and Henderson, 2008</w:t>
        </w:r>
      </w:hyperlink>
      <w:r>
        <w:t xml:space="preserve">;</w:t>
      </w:r>
      <w:r>
        <w:t xml:space="preserve"> </w:t>
      </w:r>
      <w:hyperlink w:anchor="ref-Murphy19">
        <w:r>
          <w:rPr>
            <w:rStyle w:val="Hyperlink"/>
          </w:rPr>
          <w:t xml:space="preserve">Murphy et al., 2019</w:t>
        </w:r>
      </w:hyperlink>
      <w:r>
        <w:t xml:space="preserve">;</w:t>
      </w:r>
      <w:r>
        <w:t xml:space="preserve"> </w:t>
      </w:r>
      <w:hyperlink w:anchor="ref-Pearce11">
        <w:r>
          <w:rPr>
            <w:rStyle w:val="Hyperlink"/>
          </w:rPr>
          <w:t xml:space="preserve">Pearce et al., 2011</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w:t>
      </w:r>
      <w:hyperlink w:anchor="ref-Beck17">
        <w:r>
          <w:rPr>
            <w:rStyle w:val="Hyperlink"/>
          </w:rPr>
          <w:t xml:space="preserve">Beck and Murphy, 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t>
      </w:r>
      <w:hyperlink w:anchor="ref-Wood17">
        <w:r>
          <w:rPr>
            <w:rStyle w:val="Hyperlink"/>
          </w:rPr>
          <w:t xml:space="preserve">Wood, 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w:t>
      </w:r>
      <w:hyperlink w:anchor="ref-Haraguchi15">
        <w:r>
          <w:rPr>
            <w:rStyle w:val="Hyperlink"/>
          </w:rPr>
          <w:t xml:space="preserve">Haraguchi et al., 2015</w:t>
        </w:r>
      </w:hyperlink>
      <w:r>
        <w:t xml:space="preserve">;</w:t>
      </w:r>
      <w:r>
        <w:t xml:space="preserve"> </w:t>
      </w:r>
      <w:hyperlink w:anchor="ref-Murphy19">
        <w:r>
          <w:rPr>
            <w:rStyle w:val="Hyperlink"/>
          </w:rPr>
          <w:t xml:space="preserve">Murphy et al., 2019</w:t>
        </w:r>
      </w:hyperlink>
      <w:r>
        <w:t xml:space="preserve">)</w:t>
      </w:r>
      <w:r>
        <w:t xml:space="preserve">. For example,</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w:t>
      </w:r>
      <w:hyperlink w:anchor="ref-Murphy19">
        <w:r>
          <w:rPr>
            <w:rStyle w:val="Hyperlink"/>
          </w:rPr>
          <w:t xml:space="preserve">Murphy et al., 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w:t>
      </w:r>
      <w:hyperlink w:anchor="ref-Yang20">
        <w:r>
          <w:rPr>
            <w:rStyle w:val="Hyperlink"/>
          </w:rPr>
          <w:t xml:space="preserve">Yang and Moyer, 2020</w:t>
        </w:r>
      </w:hyperlink>
      <w:r>
        <w:t xml:space="preserve">)</w:t>
      </w:r>
      <w:r>
        <w:t xml:space="preserve">, serial correlation in high resolution data</w:t>
      </w:r>
      <w:r>
        <w:t xml:space="preserve"> </w:t>
      </w:r>
      <w:r>
        <w:t xml:space="preserve">(</w:t>
      </w:r>
      <w:hyperlink w:anchor="ref-Morton08">
        <w:r>
          <w:rPr>
            <w:rStyle w:val="Hyperlink"/>
          </w:rPr>
          <w:t xml:space="preserve">Morton and Henderson, 2008</w:t>
        </w:r>
      </w:hyperlink>
      <w:r>
        <w:t xml:space="preserve">;</w:t>
      </w:r>
      <w:r>
        <w:t xml:space="preserve"> </w:t>
      </w:r>
      <w:hyperlink w:anchor="ref-Yang20">
        <w:r>
          <w:rPr>
            <w:rStyle w:val="Hyperlink"/>
          </w:rPr>
          <w:t xml:space="preserve">Yang and Moyer, 2020</w:t>
        </w:r>
      </w:hyperlink>
      <w:r>
        <w:t xml:space="preserve">)</w:t>
      </w:r>
      <w:r>
        <w:t xml:space="preserve">, and quantifying time lags in relationships between response and predictor variables</w:t>
      </w:r>
      <w:r>
        <w:t xml:space="preserve"> </w:t>
      </w:r>
      <w:r>
        <w:t xml:space="preserve">(</w:t>
      </w:r>
      <w:hyperlink w:anchor="ref-Lefcheck17">
        <w:r>
          <w:rPr>
            <w:rStyle w:val="Hyperlink"/>
          </w:rPr>
          <w:t xml:space="preserve">Lefcheck et al., 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t>
      </w:r>
      <w:hyperlink w:anchor="ref-Wood17">
        <w:r>
          <w:rPr>
            <w:rStyle w:val="Hyperlink"/>
          </w:rPr>
          <w:t xml:space="preserve">Wood, 2017</w:t>
        </w:r>
      </w:hyperlink>
      <w:r>
        <w:t xml:space="preserve">,</w:t>
      </w:r>
      <w:r>
        <w:t xml:space="preserve"> </w:t>
      </w:r>
      <w:hyperlink w:anchor="ref-Wood03">
        <w:r>
          <w:rPr>
            <w:rStyle w:val="Hyperlink"/>
          </w:rPr>
          <w:t xml:space="preserve">2003</w:t>
        </w:r>
      </w:hyperlink>
      <w:r>
        <w:t xml:space="preserve">)</w:t>
      </w:r>
      <w:r>
        <w:t xml:space="preserve"> </w:t>
      </w:r>
      <w:r>
        <w:t xml:space="preserve">rather than being constrained</w:t>
      </w:r>
      <w:r>
        <w:t xml:space="preserve"> </w:t>
      </w:r>
      <w:r>
        <w:rPr>
          <w:iCs/>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w:t>
      </w:r>
      <w:r>
        <w:t xml:space="preserve">to address multi-scale trend analysis questions for which seasonal Kendall tests and the more complex STL and WRTDS methods are not well-suited. Herein,</w:t>
      </w:r>
      <w:r>
        <w:t xml:space="preserve"> </w:t>
      </w:r>
      <w:r>
        <w:t xml:space="preserve">“</w:t>
      </w:r>
      <w:r>
        <w:t xml:space="preserve">meta-analysis</w:t>
      </w:r>
      <w:r>
        <w:t xml:space="preserve">”</w:t>
      </w:r>
      <w:r>
        <w:t xml:space="preserve"> </w:t>
      </w:r>
      <w:r>
        <w:t xml:space="preserve">refers to the use of seasonal features and their uncertainty estimates for trend analysis, as compared to meta-analysis for the aggregation of results from multiple studies for analysis of effect sizes or other synthesis results</w:t>
      </w:r>
      <w:r>
        <w:t xml:space="preserve"> </w:t>
      </w:r>
      <w:r>
        <w:t xml:space="preserve">(i.e.,</w:t>
      </w:r>
      <w:r>
        <w:t xml:space="preserve"> </w:t>
      </w:r>
      <w:hyperlink w:anchor="ref-Lortie14">
        <w:r>
          <w:rPr>
            <w:rStyle w:val="Hyperlink"/>
          </w:rPr>
          <w:t xml:space="preserve">Lortie, 2014</w:t>
        </w:r>
      </w:hyperlink>
      <w:r>
        <w:t xml:space="preserve">)</w:t>
      </w:r>
      <w:r>
        <w:t xml:space="preserve">.</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Cs/>
          <w:i/>
        </w:rPr>
        <w:t xml:space="preserve">wqtrends</w:t>
      </w:r>
      <w:r>
        <w:t xml:space="preserve"> </w:t>
      </w:r>
      <w:r>
        <w:t xml:space="preserve">R package developed by the authors</w:t>
      </w:r>
      <w:r>
        <w:t xml:space="preserve"> </w:t>
      </w:r>
      <w:r>
        <w:t xml:space="preserve">(</w:t>
      </w:r>
      <w:hyperlink w:anchor="ref-Beck21">
        <w:r>
          <w:rPr>
            <w:rStyle w:val="Hyperlink"/>
          </w:rPr>
          <w:t xml:space="preserve">Beck et al., 2021</w:t>
        </w:r>
      </w:hyperlink>
      <w:r>
        <w:t xml:space="preserve">, available at</w:t>
      </w:r>
      <w:r>
        <w:t xml:space="preserve"> </w:t>
      </w:r>
      <w:hyperlink r:id="rId28">
        <w:r>
          <w:rPr>
            <w:rStyle w:val="Hyperlink"/>
          </w:rPr>
          <w:t xml:space="preserve">https://tbep-tech.github.io/wqtrends</w:t>
        </w:r>
      </w:hyperlink>
      <w:r>
        <w:t xml:space="preserve">, including an online dashboard for viewing results at</w:t>
      </w:r>
      <w:r>
        <w:t xml:space="preserve"> </w:t>
      </w:r>
      <w:hyperlink r:id="rId29">
        <w:r>
          <w:rPr>
            <w:rStyle w:val="Hyperlink"/>
          </w:rPr>
          <w:t xml:space="preserve">https://nutrient-data.sfei.org/apps/SFbaytrends/</w:t>
        </w:r>
      </w:hyperlink>
      <w:r>
        <w:t xml:space="preserve">)</w:t>
      </w:r>
      <w:r>
        <w:t xml:space="preserve">.</w:t>
      </w:r>
    </w:p>
    <w:bookmarkEnd w:id="30"/>
    <w:bookmarkStart w:id="37" w:name="methods"/>
    <w:p>
      <w:pPr>
        <w:pStyle w:val="Heading1"/>
      </w:pPr>
      <w:r>
        <w:t xml:space="preserve">Methods</w:t>
      </w:r>
    </w:p>
    <w:bookmarkStart w:id="31" w:name="study-area-and-data-sources"/>
    <w:p>
      <w:pPr>
        <w:pStyle w:val="Heading2"/>
      </w:pPr>
      <w:r>
        <w:t xml:space="preserve">Study area and data sources</w:t>
      </w:r>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w:t>
      </w:r>
      <w:hyperlink w:anchor="ref-Cloern12">
        <w:r>
          <w:rPr>
            <w:rStyle w:val="Hyperlink"/>
          </w:rPr>
          <w:t xml:space="preserve">Cloern and Jassby, 2012</w:t>
        </w:r>
      </w:hyperlink>
      <w:r>
        <w:t xml:space="preserve">)</w:t>
      </w:r>
      <w:r>
        <w:t xml:space="preserve">. An estimated 73.8 metric tons dy</w:t>
      </w:r>
      <m:oMath>
        <m:sSup>
          <m:e>
            <m:r>
              <m:t>​</m:t>
            </m:r>
          </m:e>
          <m:sup>
            <m:r>
              <m:rPr>
                <m:sty m:val="p"/>
              </m:rPr>
              <m:t>−</m:t>
            </m:r>
            <m:r>
              <m:t>1</m:t>
            </m:r>
          </m:sup>
        </m:sSup>
      </m:oMath>
      <w:r>
        <w:t xml:space="preserve"> </w:t>
      </w:r>
      <w:r>
        <w:t xml:space="preserve">of inorganic nitrogen are discharged into the Bay, primarily from wastewater</w:t>
      </w:r>
      <w:r>
        <w:t xml:space="preserve"> </w:t>
      </w:r>
      <w:r>
        <w:t xml:space="preserve">(</w:t>
      </w:r>
      <w:hyperlink w:anchor="ref-Novick14">
        <w:r>
          <w:rPr>
            <w:rStyle w:val="Hyperlink"/>
          </w:rPr>
          <w:t xml:space="preserve">Novick and Senn, 2014</w:t>
        </w:r>
      </w:hyperlink>
      <w:r>
        <w:t xml:space="preserve">)</w:t>
      </w:r>
      <w:r>
        <w:t xml:space="preserve">. Agricultural runoff from the upper watershed contributes 30 metric tons dy</w:t>
      </w:r>
      <m:oMath>
        <m:sSup>
          <m:e>
            <m:r>
              <m:t>​</m:t>
            </m:r>
          </m:e>
          <m:sup>
            <m:r>
              <m:rPr>
                <m:sty m:val="p"/>
              </m:rP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w:t>
      </w:r>
      <w:hyperlink w:anchor="ref-Alpine88">
        <w:r>
          <w:rPr>
            <w:rStyle w:val="Hyperlink"/>
          </w:rPr>
          <w:t xml:space="preserve">Alpine and Cloern, 1988</w:t>
        </w:r>
      </w:hyperlink>
      <w:r>
        <w:t xml:space="preserve">;</w:t>
      </w:r>
      <w:r>
        <w:t xml:space="preserve"> </w:t>
      </w:r>
      <w:hyperlink w:anchor="ref-Cole84">
        <w:r>
          <w:rPr>
            <w:rStyle w:val="Hyperlink"/>
          </w:rPr>
          <w:t xml:space="preserve">Cole and Cloern, 1984</w:t>
        </w:r>
      </w:hyperlink>
      <w:r>
        <w:t xml:space="preserve">;</w:t>
      </w:r>
      <w:r>
        <w:t xml:space="preserve"> </w:t>
      </w:r>
      <w:hyperlink w:anchor="ref-Jassby08">
        <w:r>
          <w:rPr>
            <w:rStyle w:val="Hyperlink"/>
          </w:rPr>
          <w:t xml:space="preserve">Jassby, 2008</w:t>
        </w:r>
      </w:hyperlink>
      <w:r>
        <w:t xml:space="preserve">;</w:t>
      </w:r>
      <w:r>
        <w:t xml:space="preserve"> </w:t>
      </w:r>
      <w:hyperlink w:anchor="ref-Kimmerer14">
        <w:r>
          <w:rPr>
            <w:rStyle w:val="Hyperlink"/>
          </w:rPr>
          <w:t xml:space="preserve">Kimmerer and Thompson, 2014</w:t>
        </w:r>
      </w:hyperlink>
      <w:r>
        <w:t xml:space="preserve">;</w:t>
      </w:r>
      <w:r>
        <w:t xml:space="preserve"> </w:t>
      </w:r>
      <w:hyperlink w:anchor="ref-Lehman17">
        <w:r>
          <w:rPr>
            <w:rStyle w:val="Hyperlink"/>
          </w:rPr>
          <w:t xml:space="preserve">Lehman et al., 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w:t>
      </w:r>
      <w:r>
        <w:t xml:space="preserve"> </w:t>
      </w:r>
      <w:r>
        <w:t xml:space="preserve">1</w:t>
      </w:r>
      <w:r>
        <w:t xml:space="preserve">)</w:t>
      </w:r>
      <w:r>
        <w:t xml:space="preserve"> </w:t>
      </w:r>
      <w:r>
        <w:t xml:space="preserve">(</w:t>
      </w:r>
      <w:hyperlink w:anchor="ref-Cloern20">
        <w:r>
          <w:rPr>
            <w:rStyle w:val="Hyperlink"/>
          </w:rPr>
          <w:t xml:space="preserve">Cloern et al., 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Sampling frequency varied somewhat over time and by station. Approximate monthly or biweekly sampling with coverage of at least a decade is common for many long-term monitoring programs and is the intended use case for the methods herein.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bookmarkEnd w:id="31"/>
    <w:bookmarkStart w:id="36" w:name="gams-with-uncertainty-propagation"/>
    <w:p>
      <w:pPr>
        <w:pStyle w:val="Heading2"/>
      </w:pPr>
      <w:r>
        <w:t xml:space="preserve">GAMs with uncertainty propagation</w:t>
      </w:r>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Meta-analysis uses response data that includes standard errors (uncertainties) as needed to address our questions.</w:t>
      </w:r>
    </w:p>
    <w:bookmarkStart w:id="32" w:name="first-stage-analysis-gam-estimation"/>
    <w:p>
      <w:pPr>
        <w:pStyle w:val="Heading3"/>
      </w:pPr>
      <w:r>
        <w:t xml:space="preserve">First-stage analysis: GAM estimation</w:t>
      </w:r>
    </w:p>
    <w:p>
      <w:pPr>
        <w:pStyle w:val="FirstParagraph"/>
      </w:pPr>
      <w:r>
        <w:t xml:space="preserve">We considered four different GAMs to smooth the raw data across time. Although they can achieve similar fits, they do so by partitioning variation in the time series differently (Table</w:t>
      </w:r>
      <w:r>
        <w:t xml:space="preserve"> </w:t>
      </w:r>
      <w:r>
        <w:t xml:space="preserve">2</w:t>
      </w:r>
      <w:r>
        <w:t xml:space="preserve">). We discuss all four to clarify their relationships and interpretations. All models were created using the</w:t>
      </w:r>
      <w:r>
        <w:t xml:space="preserve"> </w:t>
      </w:r>
      <w:r>
        <w:rPr>
          <w:rStyle w:val="VerbatimChar"/>
        </w:rPr>
        <w:t xml:space="preserve">mgcv</w:t>
      </w:r>
      <w:r>
        <w:t xml:space="preserve"> </w:t>
      </w:r>
      <w:r>
        <w:t xml:space="preserve">R package</w:t>
      </w:r>
      <w:r>
        <w:t xml:space="preserve"> </w:t>
      </w:r>
      <w:r>
        <w:t xml:space="preserve">(</w:t>
      </w:r>
      <w:hyperlink w:anchor="ref-RCT20">
        <w:r>
          <w:rPr>
            <w:rStyle w:val="Hyperlink"/>
          </w:rPr>
          <w:t xml:space="preserve">R Core Team, 2020</w:t>
        </w:r>
      </w:hyperlink>
      <w:r>
        <w:t xml:space="preserve">;</w:t>
      </w:r>
      <w:r>
        <w:t xml:space="preserve"> </w:t>
      </w:r>
      <w:hyperlink w:anchor="ref-Wood17">
        <w:r>
          <w:rPr>
            <w:rStyle w:val="Hyperlink"/>
          </w:rPr>
          <w:t xml:space="preserve">Wood, 2017</w:t>
        </w:r>
      </w:hyperlink>
      <w:r>
        <w:t xml:space="preserve">)</w:t>
      </w:r>
      <w:r>
        <w:t xml:space="preserve">, with utility functions included in the</w:t>
      </w:r>
      <w:r>
        <w:t xml:space="preserve"> </w:t>
      </w:r>
      <w:r>
        <w:rPr>
          <w:rStyle w:val="VerbatimChar"/>
        </w:rPr>
        <w:t xml:space="preserve">wqtrends</w:t>
      </w:r>
      <w:r>
        <w:t xml:space="preserve"> </w:t>
      </w:r>
      <w:r>
        <w:t xml:space="preserve">package created by the authors</w:t>
      </w:r>
      <w:r>
        <w:t xml:space="preserve"> </w:t>
      </w:r>
      <w:r>
        <w:t xml:space="preserve">(</w:t>
      </w:r>
      <w:hyperlink w:anchor="ref-Beck21">
        <w:r>
          <w:rPr>
            <w:rStyle w:val="Hyperlink"/>
          </w:rPr>
          <w:t xml:space="preserve">Beck et al., 2021</w:t>
        </w:r>
      </w:hyperlink>
      <w:r>
        <w:t xml:space="preserve">)</w:t>
      </w:r>
      <w:r>
        <w:t xml:space="preserve">.</w:t>
      </w:r>
    </w:p>
    <w:p>
      <w:pPr>
        <w:pStyle w:val="BodyText"/>
      </w:pPr>
      <w:r>
        <w:t xml:space="preserve">The simplest GAM for this purpose is expressed as:</w:t>
      </w:r>
    </w:p>
    <w:p>
      <w:pPr>
        <w:pStyle w:val="BodyText"/>
      </w:pPr>
      <m:oMathPara>
        <m:oMathParaPr>
          <m:jc m:val="center"/>
        </m:oMathParaPr>
        <m:oMath>
          <m:r>
            <m:rPr>
              <m:nor/>
              <m:sty m:val="p"/>
            </m:rPr>
            <m:t>Model S:</m:t>
          </m:r>
          <m:sSub>
            <m:e>
              <m:r>
                <m:t>y</m:t>
              </m:r>
            </m:e>
            <m:sub>
              <m:r>
                <m:t>i</m:t>
              </m:r>
            </m:sub>
          </m:sSub>
          <m:r>
            <m:rPr>
              <m:sty m:val="p"/>
            </m:rPr>
            <m:t>∼</m:t>
          </m:r>
          <m:r>
            <m:t> </m:t>
          </m:r>
          <m:sSub>
            <m:e>
              <m:r>
                <m:t>β</m:t>
              </m:r>
            </m:e>
            <m:sub>
              <m:r>
                <m:t>0</m:t>
              </m:r>
            </m:sub>
          </m:sSub>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ϵ</m:t>
              </m:r>
            </m:e>
            <m:sub>
              <m:r>
                <m:t>i</m:t>
              </m:r>
            </m:sub>
          </m:sSub>
          <m:r>
            <m:t>  </m:t>
          </m:r>
          <m:r>
            <m:rPr>
              <m:sty m:val="p"/>
            </m:rPr>
            <m:t>(</m:t>
          </m:r>
          <m:r>
            <m:t>1</m:t>
          </m:r>
          <m:r>
            <m:rPr>
              <m:sty m:val="p"/>
            </m:rPr>
            <m:t>)</m:t>
          </m:r>
        </m:oMath>
      </m:oMathPara>
    </w:p>
    <w:p>
      <w:pPr>
        <w:pStyle w:val="FirstParagraph"/>
      </w:pPr>
      <w:r>
        <w:t xml:space="preserve">where</w:t>
      </w:r>
      <w:r>
        <w:t xml:space="preserve"> </w:t>
      </w:r>
      <w:r>
        <w:rPr>
          <w:rStyle w:val="VerbatimChar"/>
        </w:rPr>
        <w:t xml:space="preserve">y</w:t>
      </w:r>
      <w:r>
        <w:t xml:space="preserve"> </w:t>
      </w:r>
      <w:r>
        <w:t xml:space="preserve">is the time series of interest, such as chl-a, for observation</w:t>
      </w:r>
      <w:r>
        <w:t xml:space="preserve"> </w:t>
      </w:r>
      <m:oMath>
        <m:r>
          <m:t>i</m:t>
        </m:r>
      </m:oMath>
      <w:r>
        <w:t xml:space="preserve"> </w:t>
      </w:r>
      <w:r>
        <w:t xml:space="preserve">explained by an intercept-term</w:t>
      </w:r>
      <w:r>
        <w:t xml:space="preserve"> </w:t>
      </w:r>
      <m:oMath>
        <m:sSub>
          <m:e>
            <m:r>
              <m:t>β</m:t>
            </m:r>
          </m:e>
          <m:sub>
            <m:r>
              <m:t>0</m:t>
            </m:r>
          </m:sub>
        </m:sSub>
      </m:oMath>
      <w:r>
        <w:t xml:space="preserve"> </w:t>
      </w:r>
      <w:r>
        <w:t xml:space="preserve">and a smooth function</w:t>
      </w:r>
      <w:r>
        <w:t xml:space="preserve"> </w:t>
      </w:r>
      <m:oMath>
        <m:sSub>
          <m:e>
            <m:r>
              <m:t>f</m:t>
            </m:r>
          </m:e>
          <m:sub>
            <m:r>
              <m:t>1</m:t>
            </m:r>
          </m:sub>
        </m:sSub>
        <m:r>
          <m:rPr>
            <m:sty m:val="p"/>
          </m:rPr>
          <m:t>(</m:t>
        </m:r>
        <m:r>
          <m:rPr>
            <m:sty m:val="p"/>
          </m:rPr>
          <m:t>)</m:t>
        </m:r>
      </m:oMath>
      <w:r>
        <w:t xml:space="preserve"> </w:t>
      </w:r>
      <w:r>
        <w:t xml:space="preserve">for</w:t>
      </w:r>
      <w:r>
        <w:t xml:space="preserve"> </w:t>
      </w:r>
      <w:r>
        <w:rPr>
          <w:rStyle w:val="VerbatimChar"/>
        </w:rPr>
        <w:t xml:space="preserve">cont_year</w:t>
      </w:r>
      <w:r>
        <w:t xml:space="preserve"> </w:t>
      </w:r>
      <w:r>
        <w:t xml:space="preserve">as</w:t>
      </w:r>
      <w:r>
        <w:t xml:space="preserve"> </w:t>
      </w:r>
      <w:r>
        <w:t xml:space="preserve">“</w:t>
      </w:r>
      <w:r>
        <w:t xml:space="preserve">continuous year</w:t>
      </w:r>
      <w:r>
        <w:t xml:space="preserve">”</w:t>
      </w:r>
      <w:r>
        <w:t xml:space="preserve"> </w:t>
      </w:r>
      <w:r>
        <w:t xml:space="preserve">represented as a continuous numerical date (e.g., July 1st 2019 would be 2019.5). The</w:t>
      </w:r>
      <w:r>
        <w:t xml:space="preserve"> </w:t>
      </w:r>
      <m:oMath>
        <m:sSub>
          <m:e>
            <m:r>
              <m:t>f</m:t>
            </m:r>
          </m:e>
          <m:sub>
            <m:r>
              <m:t>1</m:t>
            </m:r>
          </m:sub>
        </m:sSub>
        <m:r>
          <m:rPr>
            <m:sty m:val="p"/>
          </m:rPr>
          <m:t>(</m:t>
        </m:r>
        <m:r>
          <m:rPr>
            <m:sty m:val="p"/>
          </m:rPr>
          <m:t>)</m:t>
        </m:r>
      </m:oMath>
      <w:r>
        <w:t xml:space="preserve"> </w:t>
      </w:r>
      <w:r>
        <w:t xml:space="preserve">function is a smoothing spline composed of the sum of multiple</w:t>
      </w:r>
      <w:r>
        <w:t xml:space="preserve"> </w:t>
      </w:r>
      <w:r>
        <w:t xml:space="preserve">“</w:t>
      </w:r>
      <w:r>
        <w:t xml:space="preserve">basis functions</w:t>
      </w:r>
      <w:r>
        <w:t xml:space="preserve">”</w:t>
      </w:r>
      <w:r>
        <w:t xml:space="preserve"> </w:t>
      </w:r>
      <w:r>
        <w:t xml:space="preserve">describing the relationship of</w:t>
      </w:r>
      <w:r>
        <w:t xml:space="preserve"> </w:t>
      </w:r>
      <m:oMath>
        <m:r>
          <m:t>c</m:t>
        </m:r>
        <m:r>
          <m:t>o</m:t>
        </m:r>
        <m:r>
          <m:t>n</m:t>
        </m:r>
        <m:r>
          <m:t>t</m:t>
        </m:r>
        <m:r>
          <m:rPr>
            <m:sty m:val="p"/>
          </m:rPr>
          <m:t>_</m:t>
        </m:r>
        <m:r>
          <m:t>y</m:t>
        </m:r>
        <m:r>
          <m:t>e</m:t>
        </m:r>
        <m:r>
          <m:t>a</m:t>
        </m:r>
        <m:r>
          <m:t>r</m:t>
        </m:r>
      </m:oMath>
      <w:r>
        <w:t xml:space="preserve"> </w:t>
      </w:r>
      <w:r>
        <w:t xml:space="preserve">with</w:t>
      </w:r>
      <w:r>
        <w:t xml:space="preserve"> </w:t>
      </w:r>
      <m:oMath>
        <m:r>
          <m:t>y</m:t>
        </m:r>
      </m:oMath>
      <w:r>
        <w:t xml:space="preserve"> </w:t>
      </w:r>
      <w:r>
        <w:t xml:space="preserve">(</w:t>
      </w:r>
      <w:hyperlink w:anchor="ref-Wood17">
        <w:r>
          <w:rPr>
            <w:rStyle w:val="Hyperlink"/>
          </w:rPr>
          <w:t xml:space="preserve">Wood, 2017</w:t>
        </w:r>
      </w:hyperlink>
      <w:r>
        <w:t xml:space="preserve">)</w:t>
      </w:r>
      <w:r>
        <w:t xml:space="preserve">. The smoothing splines includes a user-specified number of knots or</w:t>
      </w:r>
      <w:r>
        <w:t xml:space="preserve"> </w:t>
      </w:r>
      <w:r>
        <w:t xml:space="preserve">“</w:t>
      </w:r>
      <w:r>
        <w:t xml:space="preserve">connections</w:t>
      </w:r>
      <w:r>
        <w:t xml:space="preserve">”</w:t>
      </w:r>
      <w:r>
        <w:t xml:space="preserve"> </w:t>
      </w:r>
      <w:r>
        <w:t xml:space="preserve">along the spline. The</w:t>
      </w:r>
      <w:r>
        <w:t xml:space="preserve"> </w:t>
      </w:r>
      <m:oMath>
        <m:r>
          <m:t>ϵ</m:t>
        </m:r>
      </m:oMath>
      <w:r>
        <w:t xml:space="preserve"> </w:t>
      </w:r>
      <w:r>
        <w:t xml:space="preserve">term is for model errors having normal distribution with mean zero and constant variance.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t>
      </w:r>
      <w:hyperlink w:anchor="ref-Wood04">
        <w:r>
          <w:rPr>
            <w:rStyle w:val="Hyperlink"/>
          </w:rPr>
          <w:t xml:space="preserve">Wood, 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 for</w:t>
      </w:r>
      <w:r>
        <w:t xml:space="preserve"> </w:t>
      </w:r>
      <m:oMath>
        <m:sSub>
          <m:e>
            <m:r>
              <m:t>f</m:t>
            </m:r>
          </m:e>
          <m:sub>
            <m:r>
              <m:t>1</m:t>
            </m:r>
          </m:sub>
        </m:sSub>
        <m:r>
          <m:rPr>
            <m:sty m:val="p"/>
          </m:rPr>
          <m:t>(</m:t>
        </m:r>
        <m:r>
          <m:rPr>
            <m:sty m:val="p"/>
          </m:rPr>
          <m:t>)</m:t>
        </m:r>
      </m:oMath>
      <w:r>
        <w:t xml:space="preserve"> </w:t>
      </w:r>
      <w:r>
        <w:t xml:space="preserve">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m:oMathPara>
        <m:oMathParaPr>
          <m:jc m:val="center"/>
        </m:oMathParaPr>
        <m:oMath>
          <m:r>
            <m:rPr>
              <m:nor/>
              <m:sty m:val="p"/>
            </m:rPr>
            <m:t>Model SY:</m:t>
          </m:r>
          <m:sSub>
            <m:e>
              <m:r>
                <m:t>y</m:t>
              </m:r>
            </m:e>
            <m:sub>
              <m:r>
                <m:t>i</m:t>
              </m:r>
            </m:sub>
          </m:sSub>
          <m:r>
            <m:rPr>
              <m:sty m:val="p"/>
            </m:rPr>
            <m:t>∼</m:t>
          </m:r>
          <m:r>
            <m:t> </m:t>
          </m:r>
          <m:sSub>
            <m:e>
              <m:r>
                <m:t>β</m:t>
              </m:r>
            </m:e>
            <m:sub>
              <m:r>
                <m:t>0</m:t>
              </m:r>
            </m:sub>
          </m:sSub>
          <m:r>
            <m:rPr>
              <m:sty m:val="p"/>
            </m:rPr>
            <m:t>+</m:t>
          </m:r>
          <m:sSub>
            <m:e>
              <m:r>
                <m:t>β</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ϵ</m:t>
              </m:r>
            </m:e>
            <m:sub>
              <m:r>
                <m:t>i</m:t>
              </m:r>
            </m:sub>
          </m:sSub>
          <m:r>
            <m:t>  </m:t>
          </m:r>
          <m:r>
            <m:rPr>
              <m:sty m:val="p"/>
            </m:rPr>
            <m:t>(</m:t>
          </m:r>
          <m:r>
            <m:t>2</m:t>
          </m:r>
          <m:r>
            <m:rPr>
              <m:sty m:val="p"/>
            </m:rPr>
            <m:t>)</m:t>
          </m:r>
        </m:oMath>
      </m:oMathPara>
    </w:p>
    <w:p>
      <w:pPr>
        <w:pStyle w:val="FirstParagraph"/>
      </w:pPr>
      <w:r>
        <w:t xml:space="preserve">where equation (2) is the same as equation (1) with the addition of a linear term for</w:t>
      </w:r>
      <w:r>
        <w:t xml:space="preserve"> </w:t>
      </w:r>
      <m:oMath>
        <m:r>
          <m:t>c</m:t>
        </m:r>
        <m:r>
          <m:t>o</m:t>
        </m:r>
        <m:r>
          <m:t>n</m:t>
        </m:r>
        <m:r>
          <m:t>t</m:t>
        </m:r>
        <m:r>
          <m:rPr>
            <m:sty m:val="p"/>
          </m:rPr>
          <m:t>_</m:t>
        </m:r>
        <m:r>
          <m:t>y</m:t>
        </m:r>
        <m:r>
          <m:t>e</m:t>
        </m:r>
        <m:r>
          <m:t>a</m:t>
        </m:r>
        <m:r>
          <m:t>r</m:t>
        </m:r>
      </m:oMath>
      <w:r>
        <w:t xml:space="preserve"> </w:t>
      </w:r>
      <w:r>
        <w:t xml:space="preserve">related to</w:t>
      </w:r>
      <w:r>
        <w:t xml:space="preserve"> </w:t>
      </w:r>
      <m:oMath>
        <m:sSub>
          <m:e>
            <m:r>
              <m:t>y</m:t>
            </m:r>
          </m:e>
          <m:sub>
            <m:r>
              <m:t>i</m:t>
            </m:r>
          </m:sub>
        </m:sSub>
      </m:oMath>
      <w:r>
        <w:t xml:space="preserve"> </w:t>
      </w:r>
      <w:r>
        <w:t xml:space="preserve">by the</w:t>
      </w:r>
      <w:r>
        <w:t xml:space="preserve"> </w:t>
      </w:r>
      <m:oMath>
        <m:sSub>
          <m:e>
            <m:r>
              <m:t>β</m:t>
            </m:r>
          </m:e>
          <m:sub>
            <m:r>
              <m:t>1</m:t>
            </m:r>
          </m:sub>
        </m:sSub>
      </m:oMath>
      <w:r>
        <w:t xml:space="preserve"> </w:t>
      </w:r>
      <w:r>
        <w:t xml:space="preserve">slope parameter.</w:t>
      </w:r>
    </w:p>
    <w:p>
      <w:pPr>
        <w:pStyle w:val="BodyText"/>
      </w:pPr>
      <w:r>
        <w:t xml:space="preserve">This model is mathematically equivalent to model S (Table</w:t>
      </w:r>
      <w:r>
        <w:t xml:space="preserve"> </w:t>
      </w:r>
      <w:r>
        <w:t xml:space="preserve">3</w:t>
      </w:r>
      <w:r>
        <w:t xml:space="preserve">). The</w:t>
      </w:r>
      <w:r>
        <w:t xml:space="preserve"> </w:t>
      </w:r>
      <m:oMath>
        <m:sSub>
          <m:e>
            <m:r>
              <m:t>f</m:t>
            </m:r>
          </m:e>
          <m:sub>
            <m:r>
              <m:t>1</m:t>
            </m:r>
          </m:sub>
        </m:sSub>
        <m:r>
          <m:rPr>
            <m:sty m:val="p"/>
          </m:rPr>
          <m:t>(</m:t>
        </m:r>
        <m:r>
          <m:rPr>
            <m:sty m:val="p"/>
          </m:rPr>
          <m:t>)</m:t>
        </m:r>
      </m:oMath>
      <w:r>
        <w:t xml:space="preserve"> </w:t>
      </w:r>
      <w:r>
        <w:t xml:space="preserve">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m:oMathPara>
        <m:oMathParaPr>
          <m:jc m:val="center"/>
        </m:oMathParaPr>
        <m:oMath>
          <m:r>
            <m:rPr>
              <m:nor/>
              <m:sty m:val="p"/>
            </m:rPr>
            <m:t>Model SYD:</m:t>
          </m:r>
          <m:sSub>
            <m:e>
              <m:r>
                <m:t>y</m:t>
              </m:r>
            </m:e>
            <m:sub>
              <m:r>
                <m:t>i</m:t>
              </m:r>
            </m:sub>
          </m:sSub>
          <m:r>
            <m:rPr>
              <m:sty m:val="p"/>
            </m:rPr>
            <m:t>∼</m:t>
          </m:r>
          <m:r>
            <m:t> </m:t>
          </m:r>
          <m:sSub>
            <m:e>
              <m:r>
                <m:t>β</m:t>
              </m:r>
            </m:e>
            <m:sub>
              <m:r>
                <m:t>0</m:t>
              </m:r>
            </m:sub>
          </m:sSub>
          <m:r>
            <m:rPr>
              <m:sty m:val="p"/>
            </m:rPr>
            <m:t>+</m:t>
          </m:r>
          <m:sSub>
            <m:e>
              <m:r>
                <m:t>β</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2</m:t>
              </m:r>
            </m:sub>
          </m:sSub>
          <m:d>
            <m:dPr>
              <m:begChr m:val="("/>
              <m:endChr m:val=""/>
              <m:grow/>
            </m:dPr>
            <m:e>
              <m:r>
                <m:t>d</m:t>
              </m:r>
              <m:r>
                <m:t>o</m:t>
              </m:r>
              <m:sSub>
                <m:e>
                  <m:r>
                    <m:t>y</m:t>
                  </m:r>
                </m:e>
                <m:sub>
                  <m:r>
                    <m:t>i</m:t>
                  </m:r>
                </m:sub>
              </m:sSub>
              <m:r>
                <m:rPr>
                  <m:sty m:val="p"/>
                </m:rPr>
                <m:t>)</m:t>
              </m:r>
              <m:r>
                <m:rPr>
                  <m:sty m:val="p"/>
                </m:rPr>
                <m:t>+</m:t>
              </m:r>
              <m:sSub>
                <m:e>
                  <m:r>
                    <m:t>ϵ</m:t>
                  </m:r>
                </m:e>
                <m:sub>
                  <m:r>
                    <m:t>i</m:t>
                  </m:r>
                </m:sub>
              </m:sSub>
              <m:r>
                <m:t>  </m:t>
              </m:r>
              <m:r>
                <m:rPr>
                  <m:sty m:val="p"/>
                </m:rPr>
                <m:t>(</m:t>
              </m:r>
              <m:r>
                <m:t>3</m:t>
              </m:r>
              <m:r>
                <m:rPr>
                  <m:sty m:val="p"/>
                </m:rPr>
                <m:t>)</m:t>
              </m:r>
            </m:e>
          </m:d>
        </m:oMath>
      </m:oMathPara>
    </w:p>
    <w:p>
      <w:pPr>
        <w:pStyle w:val="FirstParagraph"/>
      </w:pPr>
      <w:r>
        <w:t xml:space="preserve">where equation (3) is the same as equation (2) with the addition of a smoothing spline for</w:t>
      </w:r>
      <w:r>
        <w:t xml:space="preserve"> </w:t>
      </w:r>
      <w:r>
        <w:t xml:space="preserve">“</w:t>
      </w:r>
      <w:r>
        <w:t xml:space="preserve">day-of-year</w:t>
      </w:r>
      <w:r>
        <w:t xml:space="preserve">”</w:t>
      </w:r>
      <w:r>
        <w:t xml:space="preserve"> </w:t>
      </w:r>
      <w:r>
        <w:t xml:space="preserve">(</w:t>
      </w:r>
      <m:oMath>
        <m:r>
          <m:t>d</m:t>
        </m:r>
        <m:r>
          <m:t>o</m:t>
        </m:r>
        <m:r>
          <m:t>y</m:t>
        </m:r>
      </m:oMath>
      <w:r>
        <w:t xml:space="preserve">, i.e., Julian date, a count starting January 1 for each year). The</w:t>
      </w:r>
      <w:r>
        <w:t xml:space="preserve"> </w:t>
      </w:r>
      <m:oMath>
        <m:sSub>
          <m:e>
            <m:r>
              <m:t>f</m:t>
            </m:r>
          </m:e>
          <m:sub>
            <m:r>
              <m:t>2</m:t>
            </m:r>
          </m:sub>
        </m:sSub>
        <m:r>
          <m:rPr>
            <m:sty m:val="p"/>
          </m:rPr>
          <m:t>(</m:t>
        </m:r>
        <m:r>
          <m:rPr>
            <m:sty m:val="p"/>
          </m:rPr>
          <m:t>)</m:t>
        </m:r>
      </m:oMath>
      <w:r>
        <w:t xml:space="preserve"> </w:t>
      </w:r>
      <w:r>
        <w:t xml:space="preserve">spline is cyclic (using</w:t>
      </w:r>
      <w:r>
        <w:t xml:space="preserve"> </w:t>
      </w:r>
      <w:r>
        <w:rPr>
          <w:rStyle w:val="VerbatimChar"/>
        </w:rPr>
        <w:t xml:space="preserve">bs = 'cc'</w:t>
      </w:r>
      <w:r>
        <w:t xml:space="preserve"> </w:t>
      </w:r>
      <w:r>
        <w:t xml:space="preserve">in</w:t>
      </w:r>
      <w:r>
        <w:t xml:space="preserve"> </w:t>
      </w:r>
      <w:r>
        <w:rPr>
          <w:rStyle w:val="VerbatimChar"/>
        </w:rPr>
        <w:t xml:space="preserve">mgcv</w:t>
      </w:r>
      <w:r>
        <w:t xml:space="preserve">) to constrain the start and end at the same value. A user-specified number of knots is also included in</w:t>
      </w:r>
      <w:r>
        <w:t xml:space="preserve"> </w:t>
      </w:r>
      <m:oMath>
        <m:sSub>
          <m:e>
            <m:r>
              <m:t>f</m:t>
            </m:r>
          </m:e>
          <m:sub>
            <m:r>
              <m:t>2</m:t>
            </m:r>
          </m:sub>
        </m:sSub>
        <m:r>
          <m:rPr>
            <m:sty m:val="p"/>
          </m:rPr>
          <m:t>(</m:t>
        </m:r>
        <m:r>
          <m:rPr>
            <m:sty m:val="p"/>
          </m:rPr>
          <m:t>)</m:t>
        </m:r>
      </m:oMath>
      <w:r>
        <w:t xml:space="preserv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t>
      </w:r>
      <w:hyperlink w:anchor="ref-Wood17">
        <w:r>
          <w:rPr>
            <w:rStyle w:val="Hyperlink"/>
          </w:rPr>
          <w:t xml:space="preserve">Wood, 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m:oMathPara>
        <m:oMathParaPr>
          <m:jc m:val="center"/>
        </m:oMathParaPr>
        <m:oMath>
          <m:r>
            <m:rPr>
              <m:nor/>
              <m:sty m:val="p"/>
            </m:rPr>
            <m:t>Model SYDI:</m:t>
          </m:r>
          <m:sSub>
            <m:e>
              <m:r>
                <m:t>y</m:t>
              </m:r>
            </m:e>
            <m:sub>
              <m:r>
                <m:t>i</m:t>
              </m:r>
            </m:sub>
          </m:sSub>
          <m:r>
            <m:rPr>
              <m:sty m:val="p"/>
            </m:rPr>
            <m:t>∼</m:t>
          </m:r>
          <m:r>
            <m:t> </m:t>
          </m:r>
          <m:sSub>
            <m:e>
              <m:r>
                <m:t>β</m:t>
              </m:r>
            </m:e>
            <m:sub>
              <m:r>
                <m:t>0</m:t>
              </m:r>
            </m:sub>
          </m:sSub>
          <m:r>
            <m:rPr>
              <m:sty m:val="p"/>
            </m:rPr>
            <m:t>+</m:t>
          </m:r>
          <m:sSub>
            <m:e>
              <m:r>
                <m:t>β</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2</m:t>
              </m:r>
            </m:sub>
          </m:sSub>
          <m:d>
            <m:dPr>
              <m:begChr m:val="("/>
              <m:endChr m:val=""/>
              <m:grow/>
            </m:dPr>
            <m:e>
              <m:r>
                <m:t>d</m:t>
              </m:r>
              <m:r>
                <m:t>o</m:t>
              </m:r>
              <m:sSub>
                <m:e>
                  <m:r>
                    <m:t>y</m:t>
                  </m:r>
                </m:e>
                <m:sub>
                  <m:r>
                    <m:t>i</m:t>
                  </m:r>
                </m:sub>
              </m:sSub>
              <m:r>
                <m:rPr>
                  <m:sty m:val="p"/>
                </m:rPr>
                <m:t>)</m:t>
              </m:r>
              <m:r>
                <m:rPr>
                  <m:sty m:val="p"/>
                </m:rPr>
                <m:t>+</m:t>
              </m:r>
              <m:sSub>
                <m:e>
                  <m:r>
                    <m:t>f</m:t>
                  </m:r>
                </m:e>
                <m:sub>
                  <m:r>
                    <m:t>3</m:t>
                  </m:r>
                </m:sub>
              </m:sSub>
              <m:d>
                <m:dPr>
                  <m:begChr m:val="("/>
                  <m:endChr m:val=")"/>
                  <m:grow/>
                </m:dPr>
                <m:e>
                  <m:r>
                    <m:t>c</m:t>
                  </m:r>
                  <m:r>
                    <m:t>o</m:t>
                  </m:r>
                  <m:r>
                    <m:t>n</m:t>
                  </m:r>
                  <m:r>
                    <m:t>t</m:t>
                  </m:r>
                  <m:r>
                    <m:rPr>
                      <m:sty m:val="p"/>
                    </m:rPr>
                    <m:t>_</m:t>
                  </m:r>
                  <m:r>
                    <m:t>y</m:t>
                  </m:r>
                  <m:r>
                    <m:t>e</m:t>
                  </m:r>
                  <m:r>
                    <m:t>a</m:t>
                  </m:r>
                  <m:sSub>
                    <m:e>
                      <m:r>
                        <m:t>r</m:t>
                      </m:r>
                    </m:e>
                    <m:sub>
                      <m:r>
                        <m:t>i</m:t>
                      </m:r>
                    </m:sub>
                  </m:sSub>
                  <m:r>
                    <m:rPr>
                      <m:sty m:val="p"/>
                    </m:rPr>
                    <m:t>,</m:t>
                  </m:r>
                  <m:r>
                    <m:t>d</m:t>
                  </m:r>
                  <m:r>
                    <m:t>o</m:t>
                  </m:r>
                  <m:sSub>
                    <m:e>
                      <m:r>
                        <m:t>y</m:t>
                      </m:r>
                    </m:e>
                    <m:sub>
                      <m:r>
                        <m:t>i</m:t>
                      </m:r>
                    </m:sub>
                  </m:sSub>
                </m:e>
              </m:d>
              <m:r>
                <m:rPr>
                  <m:sty m:val="p"/>
                </m:rPr>
                <m:t>+</m:t>
              </m:r>
              <m:sSub>
                <m:e>
                  <m:r>
                    <m:t>ϵ</m:t>
                  </m:r>
                </m:e>
                <m:sub>
                  <m:r>
                    <m:t>i</m:t>
                  </m:r>
                </m:sub>
              </m:sSub>
              <m:r>
                <m:t>  </m:t>
              </m:r>
              <m:r>
                <m:rPr>
                  <m:sty m:val="p"/>
                </m:rPr>
                <m:t>(</m:t>
              </m:r>
              <m:r>
                <m:t>4</m:t>
              </m:r>
              <m:r>
                <m:rPr>
                  <m:sty m:val="p"/>
                </m:rPr>
                <m:t>)</m:t>
              </m:r>
            </m:e>
          </m:d>
        </m:oMath>
      </m:oMathPara>
    </w:p>
    <w:p>
      <w:pPr>
        <w:pStyle w:val="FirstParagraph"/>
      </w:pPr>
      <w:r>
        <w:t xml:space="preserve">where equation (4) is the same as equation (3) with the addition of a tensor-product smoothing spline (</w:t>
      </w:r>
      <w:r>
        <w:rPr>
          <w:rStyle w:val="VerbatimChar"/>
        </w:rPr>
        <w:t xml:space="preserve">ti()</w:t>
      </w:r>
      <w:r>
        <w:t xml:space="preserve"> </w:t>
      </w:r>
      <w:r>
        <w:t xml:space="preserve">in</w:t>
      </w:r>
      <w:r>
        <w:t xml:space="preserve"> </w:t>
      </w:r>
      <w:r>
        <w:rPr>
          <w:rStyle w:val="VerbatimChar"/>
        </w:rPr>
        <w:t xml:space="preserve">mgcv</w:t>
      </w:r>
      <w:r>
        <w:t xml:space="preserve">) that varies smoothly as a function of both</w:t>
      </w:r>
      <w:r>
        <w:t xml:space="preserve"> </w:t>
      </w:r>
      <m:oMath>
        <m:r>
          <m:t>c</m:t>
        </m:r>
        <m:r>
          <m:t>o</m:t>
        </m:r>
        <m:r>
          <m:t>n</m:t>
        </m:r>
        <m:r>
          <m:t>t</m:t>
        </m:r>
        <m:r>
          <m:rPr>
            <m:sty m:val="p"/>
          </m:rPr>
          <m:t>_</m:t>
        </m:r>
        <m:r>
          <m:t>y</m:t>
        </m:r>
        <m:r>
          <m:t>e</m:t>
        </m:r>
        <m:r>
          <m:t>a</m:t>
        </m:r>
        <m:r>
          <m:t>r</m:t>
        </m:r>
      </m:oMath>
      <w:r>
        <w:t xml:space="preserve"> </w:t>
      </w:r>
      <w:r>
        <w:t xml:space="preserve">and</w:t>
      </w:r>
      <w:r>
        <w:t xml:space="preserve"> </w:t>
      </w:r>
      <m:oMath>
        <m:r>
          <m:t>d</m:t>
        </m:r>
        <m:r>
          <m:t>o</m:t>
        </m:r>
        <m:r>
          <m:t>y</m:t>
        </m:r>
      </m:oMath>
      <w:r>
        <w:t xml:space="preserve">. Both</w:t>
      </w:r>
      <w:r>
        <w:t xml:space="preserve"> </w:t>
      </w:r>
      <m:oMath>
        <m:r>
          <m:t>c</m:t>
        </m:r>
        <m:r>
          <m:t>o</m:t>
        </m:r>
        <m:r>
          <m:t>n</m:t>
        </m:r>
        <m:r>
          <m:t>t</m:t>
        </m:r>
        <m:r>
          <m:rPr>
            <m:sty m:val="p"/>
          </m:rPr>
          <m:t>_</m:t>
        </m:r>
        <m:r>
          <m:t>y</m:t>
        </m:r>
        <m:r>
          <m:t>e</m:t>
        </m:r>
        <m:r>
          <m:t>a</m:t>
        </m:r>
        <m:r>
          <m:t>r</m:t>
        </m:r>
      </m:oMath>
      <w:r>
        <w:t xml:space="preserve"> </w:t>
      </w:r>
      <w:r>
        <w:t xml:space="preserve">and</w:t>
      </w:r>
      <w:r>
        <w:t xml:space="preserve"> </w:t>
      </w:r>
      <m:oMath>
        <m:r>
          <m:t>d</m:t>
        </m:r>
        <m:r>
          <m:t>o</m:t>
        </m:r>
        <m:r>
          <m:t>y</m:t>
        </m:r>
      </m:oMath>
      <w:r>
        <w:t xml:space="preserve"> </w:t>
      </w:r>
      <w:r>
        <w:t xml:space="preserve">include their own number of knots, such that the total number of knots for the spline is the product of the two. The need for sufficient knots in SYDI can be satisfied either by sufficiently large values for</w:t>
      </w:r>
      <w:r>
        <w:t xml:space="preserve"> </w:t>
      </w:r>
      <m:oMath>
        <m:sSub>
          <m:e>
            <m:r>
              <m:t>f</m:t>
            </m:r>
          </m:e>
          <m:sub>
            <m:r>
              <m:t>3</m:t>
            </m:r>
          </m:sub>
        </m:sSub>
        <m:r>
          <m:rPr>
            <m:sty m:val="p"/>
          </m:rPr>
          <m:t>(</m:t>
        </m:r>
        <m:r>
          <m:rPr>
            <m:sty m:val="p"/>
          </m:rPr>
          <m:t>)</m:t>
        </m:r>
      </m:oMath>
      <w:r>
        <w:t xml:space="preserve"> </w:t>
      </w:r>
      <w:r>
        <w:t xml:space="preserve">or a sufficiently large value for knots in</w:t>
      </w:r>
      <w:r>
        <w:t xml:space="preserve"> </w:t>
      </w:r>
      <m:oMath>
        <m:sSub>
          <m:e>
            <m:r>
              <m:t>f</m:t>
            </m:r>
          </m:e>
          <m:sub>
            <m:r>
              <m:t>1</m:t>
            </m:r>
          </m:sub>
        </m:sSub>
        <m:r>
          <m:rPr>
            <m:sty m:val="p"/>
          </m:rPr>
          <m:t>(</m:t>
        </m:r>
        <m:r>
          <m:rPr>
            <m:sty m:val="p"/>
          </m:rPr>
          <m:t>)</m:t>
        </m:r>
      </m:oMath>
      <w:r>
        <w:t xml:space="preserve"> </w:t>
      </w:r>
      <w:r>
        <w:t xml:space="preserve">and</w:t>
      </w:r>
      <w:r>
        <w:t xml:space="preserve"> </w:t>
      </w:r>
      <m:oMath>
        <m:sSub>
          <m:e>
            <m:r>
              <m:t>f</m:t>
            </m:r>
          </m:e>
          <m:sub>
            <m:r>
              <m:t>2</m:t>
            </m:r>
          </m:sub>
        </m:sSub>
        <m:r>
          <m:rPr>
            <m:sty m:val="p"/>
          </m:rPr>
          <m:t>(</m:t>
        </m:r>
        <m:r>
          <m:rPr>
            <m:sty m:val="p"/>
          </m:rPr>
          <m:t>)</m:t>
        </m:r>
      </m:oMath>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 tensor-product spline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Cs/>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 a cyclic spline for</w:t>
      </w:r>
      <w:r>
        <w:t xml:space="preserve"> </w:t>
      </w:r>
      <w:r>
        <w:rPr>
          <w:rStyle w:val="VerbatimChar"/>
        </w:rPr>
        <w:t xml:space="preserve">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for the</w:t>
      </w:r>
      <w:r>
        <w:t xml:space="preserve"> </w:t>
      </w:r>
      <w:r>
        <w:rPr>
          <w:rStyle w:val="VerbatimChar"/>
        </w:rPr>
        <w:t xml:space="preserve">cont_year</w:t>
      </w:r>
      <w:r>
        <w:t xml:space="preserve"> </w:t>
      </w:r>
      <w:r>
        <w:t xml:space="preserve">spline (</w:t>
      </w:r>
      <m:oMath>
        <m:sSub>
          <m:e>
            <m:r>
              <m:t>f</m:t>
            </m:r>
          </m:e>
          <m:sub>
            <m:r>
              <m:t>1</m:t>
            </m:r>
          </m:sub>
        </m:sSub>
        <m:r>
          <m:rPr>
            <m:sty m:val="p"/>
          </m:rPr>
          <m:t>(</m:t>
        </m:r>
        <m:r>
          <m:rPr>
            <m:sty m:val="p"/>
          </m:rPr>
          <m:t>)</m:t>
        </m:r>
      </m:oMath>
      <w:r>
        <w:t xml:space="preserve">) of 2/3 times the number of years and do not explicitly consider the number of knots in the interaction spline, following an</w:t>
      </w:r>
      <w:r>
        <w:t xml:space="preserve"> </w:t>
      </w:r>
      <w:r>
        <w:rPr>
          <w:iCs/>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m:oMath>
        <m:sSub>
          <m:e>
            <m:r>
              <m:t>f</m:t>
            </m:r>
          </m:e>
          <m:sub>
            <m:r>
              <m:t>1</m:t>
            </m:r>
          </m:sub>
        </m:sSub>
        <m:r>
          <m:rPr>
            <m:sty m:val="p"/>
          </m:rPr>
          <m:t>(</m:t>
        </m:r>
        <m:r>
          <m:rPr>
            <m:sty m:val="p"/>
          </m:rPr>
          <m:t>)</m:t>
        </m:r>
      </m:oMath>
      <w:r>
        <w:t xml:space="preserve"> </w:t>
      </w:r>
      <w:r>
        <w:t xml:space="preserve">term. Finally,</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resulting in near ties for AIC between models.</w:t>
      </w:r>
    </w:p>
    <w:p>
      <w:pPr>
        <w:pStyle w:val="BodyText"/>
      </w:pPr>
      <w:r>
        <w:t xml:space="preserve">We visually compare chl-a estimates from models SY, SYD, and SYDI to emphasize that similar fits can be achieved by all of the presented models (Figure</w:t>
      </w:r>
      <w:r>
        <w:t xml:space="preserve"> </w:t>
      </w:r>
      <w:r>
        <w:t xml:space="preserve">3</w:t>
      </w:r>
      <w:r>
        <w:t xml:space="preserve">, SY is identical to S and is not shown). Models S, SYD, and SYDI were fit to chl-a data from station 34 using a sufficiently high number of knots for the respective splines 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estimates using only the continuous year smoother (</w:t>
      </w:r>
      <m:oMath>
        <m:sSub>
          <m:e>
            <m:r>
              <m:t>f</m:t>
            </m:r>
          </m:e>
          <m:sub>
            <m:r>
              <m:t>1</m:t>
            </m:r>
          </m:sub>
        </m:sSub>
        <m:r>
          <m:rPr>
            <m:sty m:val="p"/>
          </m:rPr>
          <m:t>(</m:t>
        </m:r>
        <m:r>
          <m:rPr>
            <m:sty m:val="p"/>
          </m:rPr>
          <m:t>)</m:t>
        </m:r>
      </m:oMath>
      <w:r>
        <w:t xml:space="preserve">), the fits differ substantially because of how each model allocates variation to the splines.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m:oMath>
        <m:sSub>
          <m:e>
            <m:r>
              <m:t>f</m:t>
            </m:r>
          </m:e>
          <m:sub>
            <m:r>
              <m:t>1</m:t>
            </m:r>
          </m:sub>
        </m:sSub>
        <m:r>
          <m:rPr>
            <m:sty m:val="p"/>
          </m:rPr>
          <m:t>(</m:t>
        </m:r>
        <m:r>
          <m:rPr>
            <m:sty m:val="p"/>
          </m:rPr>
          <m:t>)</m:t>
        </m:r>
      </m:oMath>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w:t>
      </w:r>
      <w:r>
        <w:t xml:space="preserve"> </w:t>
      </w:r>
      <w:r>
        <w:t xml:space="preserve">3</w:t>
      </w:r>
      <w:r>
        <w:t xml:space="preserve">).</w:t>
      </w:r>
    </w:p>
    <w:bookmarkEnd w:id="32"/>
    <w:bookmarkStart w:id="33" w:name="X79341b4d8d7ec317f2877c2fc7a73487dbf3a2a"/>
    <w:p>
      <w:pPr>
        <w:pStyle w:val="Heading3"/>
      </w:pPr>
      <w:r>
        <w:t xml:space="preserve">Second-stage analysis: Seasonal features with uncertainties</w:t>
      </w:r>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rPr>
                <m:sty m:val="p"/>
              </m:rP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rPr>
            <m:sty m:val="p"/>
          </m:rP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rPr>
            <m:sty m:val="p"/>
          </m:rP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rPr>
            <m:sty m:val="p"/>
          </m:rP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rPr>
            <m:sty m:val="p"/>
          </m:rP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rPr>
            <m:sty m:val="p"/>
          </m:rP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bookmarkEnd w:id="33"/>
    <w:bookmarkStart w:id="34" w:name="Xbb2bf851335ed0e6d3f492840f782620d429aef"/>
    <w:p>
      <w:pPr>
        <w:pStyle w:val="Heading3"/>
      </w:pPr>
      <w:r>
        <w:t xml:space="preserve">Third-stage analysis: Trend analysis of seasonal features with uncertainties</w:t>
      </w:r>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rPr>
                <m:sty m:val="p"/>
              </m:rP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rPr>
            <m:sty m:val="p"/>
          </m:rPr>
          <m:t>=</m:t>
        </m:r>
        <m:r>
          <m:t>1</m:t>
        </m:r>
        <m:r>
          <m:rPr>
            <m:sty m:val="p"/>
          </m:rPr>
          <m:t>,</m:t>
        </m:r>
        <m:r>
          <m:rPr>
            <m:sty m:val="p"/>
          </m:rPr>
          <m:t>…</m:t>
        </m:r>
        <m:r>
          <m:rPr>
            <m:sty m:val="p"/>
          </m:rPr>
          <m:t>,</m:t>
        </m:r>
        <m:r>
          <m:t>N</m:t>
        </m:r>
      </m:oMath>
      <w:r>
        <w:t xml:space="preserve">, with their associated standard errors,</w:t>
      </w:r>
      <w:r>
        <w:t xml:space="preserve"> </w:t>
      </w:r>
      <m:oMath>
        <m:sSub>
          <m:e>
            <m:acc>
              <m:accPr>
                <m:chr m:val="̂"/>
              </m:accPr>
              <m:e>
                <m:r>
                  <m:t>σ</m:t>
                </m:r>
              </m:e>
            </m:acc>
          </m:e>
          <m:sub>
            <m:acc>
              <m:accPr>
                <m:chr m:val="̂"/>
              </m:accPr>
              <m:e>
                <m:r>
                  <m:t>μ</m:t>
                </m:r>
              </m:e>
            </m:acc>
            <m:r>
              <m:rPr>
                <m:sty m:val="p"/>
              </m:rP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rPr>
                <m:sty m:val="p"/>
              </m:rP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hyperlink w:anchor="ref-Sera19">
        <w:r>
          <w:rPr>
            <w:rStyle w:val="Hyperlink"/>
          </w:rPr>
          <w:t xml:space="preserve">Sera et al.</w:t>
        </w:r>
      </w:hyperlink>
      <w:r>
        <w:t xml:space="preserve"> </w:t>
      </w:r>
      <w:r>
        <w:t xml:space="preserve">(</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r>
            <m:rPr>
              <m:sty m:val="p"/>
            </m:rPr>
            <m:t>+</m:t>
          </m:r>
          <m:sSub>
            <m:e>
              <m:r>
                <m:t>ϵ</m:t>
              </m:r>
            </m:e>
            <m:sub>
              <m:r>
                <m:t>t</m:t>
              </m:r>
            </m:sub>
          </m:sSub>
          <m:r>
            <m:t>  </m:t>
          </m:r>
          <m:r>
            <m:rPr>
              <m:sty m:val="p"/>
            </m:rPr>
            <m:t>(</m:t>
          </m:r>
          <m:r>
            <m:t>5</m:t>
          </m:r>
          <m:r>
            <m:rPr>
              <m:sty m:val="p"/>
            </m:rP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oMath>
      <w:r>
        <w:t xml:space="preserve">. The</w:t>
      </w:r>
      <w:r>
        <w:t xml:space="preserve"> </w:t>
      </w:r>
      <w:r>
        <w:t xml:space="preserve">“</w:t>
      </w:r>
      <w:r>
        <w:t xml:space="preserve">residual,</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rPr>
            <m:sty m:val="p"/>
          </m:rP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rPr>
                <m:sty m:val="p"/>
              </m:rP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rPr>
            <m:sty m:val="p"/>
          </m:rP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(5)) using the</w:t>
      </w:r>
      <w:r>
        <w:t xml:space="preserve"> </w:t>
      </w:r>
      <w:r>
        <w:rPr>
          <w:iCs/>
          <w:i/>
        </w:rPr>
        <w:t xml:space="preserve">mixmeta</w:t>
      </w:r>
      <w:r>
        <w:t xml:space="preserve"> </w:t>
      </w:r>
      <w:r>
        <w:t xml:space="preserve">package in R</w:t>
      </w:r>
      <w:r>
        <w:t xml:space="preserve"> </w:t>
      </w:r>
      <w:r>
        <w:t xml:space="preserve">(</w:t>
      </w:r>
      <w:hyperlink w:anchor="ref-Sera19">
        <w:r>
          <w:rPr>
            <w:rStyle w:val="Hyperlink"/>
          </w:rPr>
          <w:t xml:space="preserve">Sera et al., 2019</w:t>
        </w:r>
      </w:hyperlink>
      <w:r>
        <w:t xml:space="preserve">)</w:t>
      </w:r>
      <w:r>
        <w:t xml:space="preserve">. Results from</w:t>
      </w:r>
      <w:r>
        <w:t xml:space="preserve"> </w:t>
      </w:r>
      <w:r>
        <w:rPr>
          <w:iCs/>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Cs/>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bookmarkEnd w:id="34"/>
    <w:bookmarkStart w:id="35" w:name="trend-comparisons"/>
    <w:p>
      <w:pPr>
        <w:pStyle w:val="Heading3"/>
      </w:pPr>
      <w:r>
        <w:t xml:space="preserve">Trend comparisons</w:t>
      </w:r>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w:t>
      </w:r>
      <w:hyperlink w:anchor="ref-Cloern20">
        <w:r>
          <w:rPr>
            <w:rStyle w:val="Hyperlink"/>
          </w:rPr>
          <w:t xml:space="preserve">Cloern et al., 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bookmarkEnd w:id="35"/>
    <w:bookmarkEnd w:id="36"/>
    <w:bookmarkEnd w:id="37"/>
    <w:bookmarkStart w:id="41" w:name="results"/>
    <w:p>
      <w:pPr>
        <w:pStyle w:val="Heading1"/>
      </w:pPr>
      <w:r>
        <w:t xml:space="preserve">Results</w:t>
      </w:r>
    </w:p>
    <w:bookmarkStart w:id="38" w:name="model-performance-and-predictions"/>
    <w:p>
      <w:pPr>
        <w:pStyle w:val="Heading2"/>
      </w:pPr>
      <w:r>
        <w:t xml:space="preserve">Model performance and predictions</w:t>
      </w:r>
    </w:p>
    <w:p>
      <w:pPr>
        <w:pStyle w:val="FirstParagraph"/>
      </w:pPr>
      <w:r>
        <w:t xml:space="preserve">Model predictions for chl-a trends across all stations had an average R-squared value of 71% (Table</w:t>
      </w:r>
      <w:r>
        <w:t xml:space="preserve"> </w:t>
      </w:r>
      <w:r>
        <w:t xml:space="preserve">4</w:t>
      </w:r>
      <w:r>
        <w:t xml:space="preserve">)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bookmarkEnd w:id="38"/>
    <w:bookmarkStart w:id="39" w:name="inter-annual-trend-estimates"/>
    <w:p>
      <w:pPr>
        <w:pStyle w:val="Heading2"/>
      </w:pPr>
      <w:r>
        <w:t xml:space="preserve">Inter-annual trend estimates</w:t>
      </w:r>
    </w:p>
    <w:p>
      <w:pPr>
        <w:pStyle w:val="FirstParagraph"/>
      </w:pPr>
      <w:r>
        <w:t xml:space="preserve">Estimates of linear trends in seasonal averages across roughly ten-year windows for different seasons are shown for station 34 (Figure</w:t>
      </w:r>
      <w:r>
        <w:t xml:space="preserve"> </w:t>
      </w:r>
      <w:r>
        <w:t xml:space="preserve">4</w:t>
      </w:r>
      <w:r>
        <w:t xml:space="preserve">).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rPr>
                <m:sty m:val="p"/>
              </m:rPr>
              <m:t>−</m:t>
            </m:r>
            <m:r>
              <m:t>1</m:t>
            </m:r>
          </m:sup>
        </m:sSup>
      </m:oMath>
      <w:r>
        <w:t xml:space="preserve"> </w:t>
      </w:r>
      <w:r>
        <w:t xml:space="preserve">yr</w:t>
      </w:r>
      <m:oMath>
        <m:sSup>
          <m:e>
            <m:r>
              <m:t>​</m:t>
            </m:r>
          </m:e>
          <m:sup>
            <m:r>
              <m:rPr>
                <m:sty m:val="p"/>
              </m:rPr>
              <m:t>−</m:t>
            </m:r>
            <m:r>
              <m:t>1</m:t>
            </m:r>
          </m:sup>
        </m:sSup>
      </m:oMath>
      <w:r>
        <w:t xml:space="preserve">, 0.01-0.05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w:t>
      </w:r>
      <w:r>
        <w:t xml:space="preserve"> </w:t>
      </w:r>
      <w:r>
        <w:t xml:space="preserve">5</w:t>
      </w:r>
      <w:r>
        <w:t xml:space="preserve"> </w:t>
      </w:r>
      <w:r>
        <w:t xml:space="preserve">shows results from similar analyses as those in Figure</w:t>
      </w:r>
      <w:r>
        <w:t xml:space="preserve"> </w:t>
      </w:r>
      <w:r>
        <w:t xml:space="preserve">4</w:t>
      </w:r>
      <w:r>
        <w:t xml:space="preserve">, but applied to all stations. Mixed-effects meta-analysis regressions applied to seasonal averages showed that increases (based on</w:t>
      </w:r>
      <w:r>
        <w:t xml:space="preserve"> </w:t>
      </w:r>
      <m:oMath>
        <m:r>
          <m:t>p</m:t>
        </m:r>
        <m:r>
          <m:rPr>
            <m:sty m:val="p"/>
          </m:rPr>
          <m:t>&lt;</m:t>
        </m:r>
        <m:r>
          <m:t>0.05</m:t>
        </m:r>
      </m:oMath>
      <w:r>
        <w:t xml:space="preserve">) for the January to June period were observed at stations 32 and 34 from 1991 to 2000; decreases were observed at stations 30 and 32 from 2010 to 2019. For the July to December period, increases were observed at stations 24, 27, 30, and 32 from 1991 to 2000 and stations 18, 21, 22, 24,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w:t>
      </w:r>
      <w:r>
        <w:t xml:space="preserve"> </w:t>
      </w:r>
      <w:r>
        <w:t xml:space="preserve">6</w:t>
      </w:r>
      <w:r>
        <w:t xml:space="preserve">).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that were more often observed in the July to December period. Additionally, chl-a at the more northern stations has not changed in recent years for both seasonal periods. For most stations and seasonal periods, a change from increasing to decreasing chl-a occurred around 2007.</w:t>
      </w:r>
    </w:p>
    <w:bookmarkEnd w:id="39"/>
    <w:bookmarkStart w:id="40" w:name="importance-of-uncertainty-propagation"/>
    <w:p>
      <w:pPr>
        <w:pStyle w:val="Heading2"/>
      </w:pPr>
      <w:r>
        <w:t xml:space="preserve">Importance of uncertainty propagation</w:t>
      </w:r>
    </w:p>
    <w:p>
      <w:pPr>
        <w:pStyle w:val="FirstParagraph"/>
      </w:pPr>
      <w:r>
        <w:t xml:space="preserve">Results showing trend estimates from meta-analysis on GAM seasonal estimates provided different conclusions than those from either OLS regression through seasonal averages from raw data (Figure</w:t>
      </w:r>
      <w:r>
        <w:t xml:space="preserve"> </w:t>
      </w:r>
      <w:r>
        <w:t xml:space="preserve">7</w:t>
      </w:r>
      <w:r>
        <w:t xml:space="preserve"> </w:t>
      </w:r>
      <w:r>
        <w:t xml:space="preserve">row 1) or OLS regression through GAM estimates without uncertainty propagation (Figure</w:t>
      </w:r>
      <w:r>
        <w:t xml:space="preserve"> </w:t>
      </w:r>
      <w:r>
        <w:t xml:space="preserve">7</w:t>
      </w:r>
      <w:r>
        <w:t xml:space="preserve"> </w:t>
      </w:r>
      <w:r>
        <w:t xml:space="preserve">row 2). Figure</w:t>
      </w:r>
      <w:r>
        <w:t xml:space="preserve"> </w:t>
      </w:r>
      <w:r>
        <w:t xml:space="preserve">7</w:t>
      </w:r>
      <w:r>
        <w:t xml:space="preserve">a shows trend estimates for station 30 for January to June averages from 2000 to 2010. Only the meta-analysis regression results show a trend in this example (based on</w:t>
      </w:r>
      <w:r>
        <w:t xml:space="preserve"> </w:t>
      </w:r>
      <m:oMath>
        <m:r>
          <m:t>p</m:t>
        </m:r>
        <m:r>
          <m:rPr>
            <m:sty m:val="p"/>
          </m:rPr>
          <m:t>&lt;</m:t>
        </m:r>
        <m:r>
          <m:t>0.05</m:t>
        </m:r>
      </m:oMath>
      <w:r>
        <w:t xml:space="preserve">). The OLS regression on observed estimates (top plot) and OLS regression on GAM estimates (middle plot) did not identify trends. Figure</w:t>
      </w:r>
      <w:r>
        <w:t xml:space="preserve"> </w:t>
      </w:r>
      <w:r>
        <w:t xml:space="preserve">7</w:t>
      </w:r>
      <w:r>
        <w:t xml:space="preserve">b shows trend estimates station 34 for July to December averages from 1991 to 2000. Unlike the first example, only the middle figure shows a trend, whereas the top and bottom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w:t>
      </w:r>
      <w:r>
        <w:t xml:space="preserve"> </w:t>
      </w:r>
      <w:r>
        <w:t xml:space="preserve">8</w:t>
      </w:r>
      <w:r>
        <w:t xml:space="preserve">).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bookmarkEnd w:id="40"/>
    <w:bookmarkEnd w:id="41"/>
    <w:bookmarkStart w:id="43" w:name="discussion"/>
    <w:p>
      <w:pPr>
        <w:pStyle w:val="Heading1"/>
      </w:pPr>
      <w:r>
        <w:t xml:space="preserve">Discussion</w:t>
      </w:r>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w:t>
      </w:r>
      <w:hyperlink w:anchor="ref-Junninen04">
        <w:r>
          <w:rPr>
            <w:rStyle w:val="Hyperlink"/>
          </w:rPr>
          <w:t xml:space="preserve">Junninen et al., 2004</w:t>
        </w:r>
      </w:hyperlink>
      <w:r>
        <w:t xml:space="preserve">;</w:t>
      </w:r>
      <w:r>
        <w:t xml:space="preserve"> </w:t>
      </w:r>
      <w:hyperlink w:anchor="ref-Racault14">
        <w:r>
          <w:rPr>
            <w:rStyle w:val="Hyperlink"/>
          </w:rPr>
          <w:t xml:space="preserve">Racault et al., 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w:t>
      </w:r>
      <w:hyperlink w:anchor="ref-Helsel20">
        <w:r>
          <w:rPr>
            <w:rStyle w:val="Hyperlink"/>
          </w:rPr>
          <w:t xml:space="preserve">Helsel et al., 2020</w:t>
        </w:r>
      </w:hyperlink>
      <w:r>
        <w:t xml:space="preserve">;</w:t>
      </w:r>
      <w:r>
        <w:t xml:space="preserve"> </w:t>
      </w:r>
      <w:hyperlink w:anchor="ref-Hirsch82">
        <w:r>
          <w:rPr>
            <w:rStyle w:val="Hyperlink"/>
          </w:rPr>
          <w:t xml:space="preserve">Hirsch et al., 1982</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w:t>
      </w:r>
      <w:hyperlink w:anchor="ref-Smith01">
        <w:r>
          <w:rPr>
            <w:rStyle w:val="Hyperlink"/>
          </w:rPr>
          <w:t xml:space="preserve">Smith et al., 2001</w:t>
        </w:r>
      </w:hyperlink>
      <w:r>
        <w:t xml:space="preserve">)</w:t>
      </w:r>
      <w:r>
        <w:t xml:space="preserve">. Our examples in Figures</w:t>
      </w:r>
      <w:r>
        <w:t xml:space="preserve"> </w:t>
      </w:r>
      <w:r>
        <w:t xml:space="preserve">7</w:t>
      </w:r>
      <w:r>
        <w:t xml:space="preserve"> </w:t>
      </w:r>
      <w:r>
        <w:t xml:space="preserve">and</w:t>
      </w:r>
      <w:r>
        <w:t xml:space="preserve"> </w:t>
      </w:r>
      <w:r>
        <w:t xml:space="preserve">8</w:t>
      </w:r>
      <w:r>
        <w:t xml:space="preserve"> </w:t>
      </w:r>
      <w:r>
        <w:t xml:space="preserve">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w:t>
      </w:r>
      <w:hyperlink w:anchor="ref-Shabman03">
        <w:r>
          <w:rPr>
            <w:rStyle w:val="Hyperlink"/>
          </w:rPr>
          <w:t xml:space="preserve">Shabman and Smith, 2003</w:t>
        </w:r>
      </w:hyperlink>
      <w:r>
        <w:t xml:space="preserve">)</w:t>
      </w:r>
      <w:r>
        <w:t xml:space="preserve">. Moreover, use of methods that fully account for uncertainty in sampling design is recommended over more conventional analyses given the certainty of conclusions in the former. Our examples demonstrated the increased potential for incorrect conclusions at specific monitoring locations and at much larger spatial scales across all stations if simpler trend analyses are used. Even though simpler methods may produce the same result, particularly with frequent sampling and similar effort between years, decision-makers require certainty of conclusions when incorrect results can have expensive consequences.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t>
      </w:r>
      <w:hyperlink w:anchor="ref-Wood17">
        <w:r>
          <w:rPr>
            <w:rStyle w:val="Hyperlink"/>
          </w:rPr>
          <w:t xml:space="preserve">Wood, 2017</w:t>
        </w:r>
      </w:hyperlink>
      <w:r>
        <w:t xml:space="preserve">,</w:t>
      </w:r>
      <w:r>
        <w:t xml:space="preserve"> </w:t>
      </w:r>
      <w:hyperlink w:anchor="ref-Wood04">
        <w:r>
          <w:rPr>
            <w:rStyle w:val="Hyperlink"/>
          </w:rPr>
          <w:t xml:space="preserve">2004</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w:t>
      </w:r>
      <w:hyperlink w:anchor="ref-Hirsch10">
        <w:r>
          <w:rPr>
            <w:rStyle w:val="Hyperlink"/>
          </w:rPr>
          <w:t xml:space="preserve">Hirsch et al., 2010</w:t>
        </w:r>
      </w:hyperlink>
      <w:r>
        <w:t xml:space="preserve">;</w:t>
      </w:r>
      <w:r>
        <w:t xml:space="preserve"> </w:t>
      </w:r>
      <w:hyperlink w:anchor="ref-Wan17">
        <w:r>
          <w:rPr>
            <w:rStyle w:val="Hyperlink"/>
          </w:rPr>
          <w:t xml:space="preserve">Wan et al., 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bookmarkStart w:id="42" w:name="future-work"/>
    <w:p>
      <w:pPr>
        <w:pStyle w:val="Heading2"/>
      </w:pPr>
      <w:r>
        <w:t xml:space="preserve">Future work</w:t>
      </w:r>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Cs/>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t>
      </w:r>
      <w:hyperlink w:anchor="ref-Wood02">
        <w:r>
          <w:rPr>
            <w:rStyle w:val="Hyperlink"/>
          </w:rPr>
          <w:t xml:space="preserve">Wood and Augustin, 2002</w:t>
        </w:r>
      </w:hyperlink>
      <w:r>
        <w:t xml:space="preserve">;</w:t>
      </w:r>
      <w:r>
        <w:t xml:space="preserve"> </w:t>
      </w:r>
      <w:hyperlink w:anchor="ref-Zuur09">
        <w:r>
          <w:rPr>
            <w:rStyle w:val="Hyperlink"/>
          </w:rPr>
          <w:t xml:space="preserve">Zuur et al., 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w:t>
      </w:r>
      <w:hyperlink w:anchor="ref-Cloern07">
        <w:r>
          <w:rPr>
            <w:rStyle w:val="Hyperlink"/>
          </w:rPr>
          <w:t xml:space="preserve">Cloern et al., 2007</w:t>
        </w:r>
      </w:hyperlink>
      <w:r>
        <w:t xml:space="preserve">;</w:t>
      </w:r>
      <w:r>
        <w:t xml:space="preserve"> </w:t>
      </w:r>
      <w:hyperlink w:anchor="ref-Jassby02">
        <w:r>
          <w:rPr>
            <w:rStyle w:val="Hyperlink"/>
          </w:rPr>
          <w:t xml:space="preserve">Jassby et al., 2002</w:t>
        </w:r>
      </w:hyperlink>
      <w:r>
        <w:t xml:space="preserve">)</w:t>
      </w:r>
      <w:r>
        <w:t xml:space="preserve">. The open-source wqtrends R package</w:t>
      </w:r>
      <w:r>
        <w:t xml:space="preserve"> </w:t>
      </w:r>
      <w:r>
        <w:t xml:space="preserve">(</w:t>
      </w:r>
      <w:hyperlink w:anchor="ref-Beck21">
        <w:r>
          <w:rPr>
            <w:rStyle w:val="Hyperlink"/>
          </w:rPr>
          <w:t xml:space="preserve">Beck et al., 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bookmarkEnd w:id="42"/>
    <w:bookmarkEnd w:id="43"/>
    <w:bookmarkStart w:id="44" w:name="acknowledgments"/>
    <w:p>
      <w:pPr>
        <w:pStyle w:val="Heading1"/>
      </w:pPr>
      <w:r>
        <w:t xml:space="preserve">Acknowledgments</w:t>
      </w:r>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bookmarkEnd w:id="44"/>
    <w:bookmarkStart w:id="53" w:name="figures"/>
    <w:p>
      <w:pPr>
        <w:pStyle w:val="Heading1"/>
      </w:pPr>
      <w:r>
        <w:t xml:space="preserve">Figures</w:t>
      </w:r>
    </w:p>
    <w:p>
      <w:pPr>
        <w:pStyle w:val="CaptionedFigure"/>
      </w:pPr>
      <w:r>
        <w:drawing>
          <wp:inline>
            <wp:extent cx="5943600" cy="5200650"/>
            <wp:effectExtent b="0" l="0" r="0" t="0"/>
            <wp:docPr descr="Figure 1: Observed chl-a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chl-a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3458" cy="5958496"/>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3458" cy="5958496"/>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hyperlink w:anchor="ref-Schraga20">
        <w:r>
          <w:rPr>
            <w:rStyle w:val="Hyperlink"/>
          </w:rPr>
          <w:t xml:space="preserve">Schraga et al.</w:t>
        </w:r>
      </w:hyperlink>
      <w:r>
        <w:t xml:space="preserve"> </w:t>
      </w:r>
      <w:r>
        <w:t xml:space="preserve">(</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943600" cy="3241963"/>
            <wp:effectExtent b="0" l="0" r="0" t="0"/>
            <wp:docPr descr="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943600" cy="5151120"/>
            <wp:effectExtent b="0" l="0" r="0" t="0"/>
            <wp:docPr descr="Figure 5: 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5: 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rPr>
            <m:sty m:val="p"/>
          </m:rP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6: 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943600" cy="4984954"/>
            <wp:effectExtent b="0" l="0" r="0" t="0"/>
            <wp:docPr descr="Figure 7: Trend estimate comparisons (arithmetic scale) for three models applied to seasonal averages of chl-a in different annual periods at stations (a) 30 and (b) 34.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7: Trend estimate comparisons (arithmetic scale) for three models applied to seasonal averages of chl-a in different annual periods at stations (a) 30 and (b) 34.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w:t>
      </w:r>
    </w:p>
    <w:p>
      <w:pPr>
        <w:pStyle w:val="CaptionedFigure"/>
      </w:pPr>
      <w:r>
        <w:drawing>
          <wp:inline>
            <wp:extent cx="5943600" cy="4754880"/>
            <wp:effectExtent b="0" l="0" r="0" t="0"/>
            <wp:docPr descr="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10.png" id="0"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bookmarkEnd w:id="53"/>
    <w:bookmarkStart w:id="54" w:name="tables"/>
    <w:p>
      <w:pPr>
        <w:pStyle w:val="Heading1"/>
      </w:pPr>
      <w:r>
        <w:t xml:space="preserve">Tables</w:t>
      </w:r>
    </w:p>
    <w:p>
      <w:pPr>
        <w:pStyle w:val="TableCaption"/>
      </w:pPr>
      <w:r>
        <w:t xml:space="preserve">Table 1: Station locations, sample sizes (from 1991 to 2019), and summary values (median, minimum, maximum) for chl-a (</w:t>
      </w:r>
      <m:oMath>
        <m:r>
          <m:t>μ</m:t>
        </m:r>
      </m:oMath>
      <w:r>
        <w:t xml:space="preserve">g L</w:t>
      </w:r>
      <m:oMath>
        <m:sSup>
          <m:e>
            <m:r>
              <m:t>​</m:t>
            </m:r>
          </m:e>
          <m:sup>
            <m:r>
              <m:rPr>
                <m:sty m:val="p"/>
              </m:rPr>
              <m:t>−</m:t>
            </m:r>
            <m:r>
              <m:t>1</m:t>
            </m:r>
          </m:sup>
        </m:sSup>
      </m:oMath>
      <w:r>
        <w:t xml:space="preserve">). Stations are arranged from north to south.</w:t>
      </w:r>
    </w:p>
    <w:tbl>
      <w:tblPr>
        <w:tblStyle w:val="Table"/>
        <w:tblW w:type="pct" w:w="0.0"/>
        <w:tblLook w:firstRow="1" w:lastRow="0" w:firstColumn="0" w:lastColumn="0" w:noHBand="0" w:noVBand="0" w:val="0020"/>
        <w:tblCaption w:val="Table 1: Station locations, sample sizes (from 1991 to 2019), and summary values (median, minimum, maximum) for chl-a (\mug L^{-1}). Stations are arranged from north to south."/>
      </w:tblPr>
      <w:tblGrid/>
      <w:tr>
        <w:tc>
          <w:p>
            <w:pPr>
              <w:pStyle w:val="Compact"/>
              <w:jc w:val="right"/>
            </w:pPr>
            <w:r>
              <w:t xml:space="preserve">Station</w:t>
            </w:r>
          </w:p>
        </w:tc>
        <w:tc>
          <w:p>
            <w:pPr>
              <w:pStyle w:val="Compact"/>
              <w:jc w:val="right"/>
            </w:pPr>
            <w:r>
              <w:t xml:space="preserve">Latitude</w:t>
            </w:r>
          </w:p>
        </w:tc>
        <w:tc>
          <w:p>
            <w:pPr>
              <w:pStyle w:val="Compact"/>
              <w:jc w:val="right"/>
            </w:pPr>
            <w:r>
              <w:t xml:space="preserve">Longitude</w:t>
            </w:r>
          </w:p>
        </w:tc>
        <w:tc>
          <w:p>
            <w:pPr>
              <w:pStyle w:val="Compact"/>
              <w:jc w:val="right"/>
            </w:pPr>
            <w:r>
              <w:t xml:space="preserve">n</w:t>
            </w:r>
          </w:p>
        </w:tc>
        <w:tc>
          <w:p>
            <w:pPr>
              <w:pStyle w:val="Compact"/>
              <w:jc w:val="right"/>
            </w:pPr>
            <w:r>
              <w:t xml:space="preserve">Med.</w:t>
            </w:r>
          </w:p>
        </w:tc>
        <w:tc>
          <w:p>
            <w:pPr>
              <w:pStyle w:val="Compact"/>
              <w:jc w:val="right"/>
            </w:pPr>
            <w:r>
              <w:t xml:space="preserve">Min.</w:t>
            </w:r>
          </w:p>
        </w:tc>
        <w:tc>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lastRow="0" w:firstColumn="0" w:lastColumn="0" w:noHBand="0" w:noVBand="0" w:val="0020"/>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04"/>
        <w:gridCol w:w="1987"/>
        <w:gridCol w:w="5728"/>
      </w:tblGrid>
      <w:tr>
        <w:tc>
          <w:p>
            <w:pPr>
              <w:pStyle w:val="Compact"/>
              <w:jc w:val="left"/>
            </w:pPr>
            <w:r>
              <w:t xml:space="preserve">GAM</w:t>
            </w:r>
          </w:p>
        </w:tc>
        <w:tc>
          <w:p>
            <w:pPr>
              <w:pStyle w:val="Compact"/>
              <w:jc w:val="left"/>
            </w:pPr>
            <w:r>
              <w:t xml:space="preserve">Additive components</w:t>
            </w:r>
          </w:p>
        </w:tc>
        <w:tc>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f_1(cont_year)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eta_0cont_year + f_1(cont_year)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eta_0cont_year + f_1(cont_year) + f_2(doy)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eta_0cont_year + f_1(cont_year) + f_2(doy) + f_3(cont_year,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
      <w:pPr>
        <w:pStyle w:val="TableCaption"/>
      </w:pPr>
      <w:r>
        <w:t xml:space="preserve">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lastRow="0" w:firstColumn="0" w:lastColumn="0" w:noHBand="0" w:noVBand="0" w:val="0020"/>
        <w:tblCaption w:val="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c>
          <w:p>
            <w:pPr>
              <w:pStyle w:val="Compact"/>
              <w:jc w:val="left"/>
            </w:pPr>
            <w:r>
              <w:t xml:space="preserve">model</w:t>
            </w:r>
          </w:p>
        </w:tc>
        <w:tc>
          <w:p>
            <w:pPr>
              <w:pStyle w:val="Compact"/>
              <w:jc w:val="left"/>
            </w:pPr>
            <w:r>
              <w:t xml:space="preserve">AIC</w:t>
            </w:r>
          </w:p>
        </w:tc>
        <w:tc>
          <w:p>
            <w:pPr>
              <w:pStyle w:val="Compact"/>
              <w:jc w:val="left"/>
            </w:pPr>
            <w:r>
              <w:t xml:space="preserve">GCV</w:t>
            </w:r>
          </w:p>
        </w:tc>
        <w:tc>
          <w:p>
            <w:pPr>
              <w:pStyle w:val="Compact"/>
              <w:jc w:val="left"/>
            </w:pPr>
            <w:r>
              <w:t xml:space="preserve">R2</w:t>
            </w:r>
          </w:p>
        </w:tc>
        <w:tc>
          <w:p>
            <w:pPr>
              <w:pStyle w:val="Compact"/>
              <w:jc w:val="left"/>
            </w:pPr>
            <w:r>
              <w:t xml:space="preserve">smoother</w:t>
            </w:r>
          </w:p>
        </w:tc>
        <w:tc>
          <w:p>
            <w:pPr>
              <w:pStyle w:val="Compact"/>
              <w:jc w:val="right"/>
            </w:pPr>
            <w:r>
              <w:t xml:space="preserve">edf</w:t>
            </w:r>
          </w:p>
        </w:tc>
        <w:tc>
          <w:p>
            <w:pPr>
              <w:pStyle w:val="Compact"/>
              <w:jc w:val="right"/>
            </w:pPr>
            <w:r>
              <w:t xml:space="preserve">F</w:t>
            </w:r>
          </w:p>
        </w:tc>
        <w:tc>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
      <w:pPr>
        <w:pStyle w:val="TableCaption"/>
      </w:pPr>
      <w:r>
        <w:t xml:space="preserve">Table 4: Model performance statistics for each station as Akaike Information Criterion scores (AIC), generalized cross-validation scores (GCV), and r-squared values.</w:t>
      </w:r>
    </w:p>
    <w:tbl>
      <w:tblPr>
        <w:tblStyle w:val="Table"/>
        <w:tblW w:type="pct" w:w="0.0"/>
        <w:tblLook w:firstRow="1" w:lastRow="0" w:firstColumn="0" w:lastColumn="0" w:noHBand="0" w:noVBand="0" w:val="0020"/>
        <w:tblCaption w:val="Table 4: Model performance statistics for each station as Akaike Information Criterion scores (AIC), generalized cross-validation scores (GCV), and r-squared values."/>
      </w:tblPr>
      <w:tblGrid/>
      <w:tr>
        <w:tc>
          <w:p>
            <w:pPr>
              <w:pStyle w:val="Compact"/>
              <w:jc w:val="left"/>
            </w:pPr>
            <w:r>
              <w:t xml:space="preserve">station</w:t>
            </w:r>
          </w:p>
        </w:tc>
        <w:tc>
          <w:p>
            <w:pPr>
              <w:pStyle w:val="Compact"/>
              <w:jc w:val="right"/>
            </w:pPr>
            <w:r>
              <w:t xml:space="preserve">AIC</w:t>
            </w:r>
          </w:p>
        </w:tc>
        <w:tc>
          <w:p>
            <w:pPr>
              <w:pStyle w:val="Compact"/>
              <w:jc w:val="right"/>
            </w:pPr>
            <w:r>
              <w:t xml:space="preserve">GCV</w:t>
            </w:r>
          </w:p>
        </w:tc>
        <w:tc>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bookmarkEnd w:id="54"/>
    <w:bookmarkStart w:id="131" w:name="references"/>
    <w:p>
      <w:pPr>
        <w:pStyle w:val="Heading1"/>
      </w:pPr>
      <w:r>
        <w:t xml:space="preserve">References</w:t>
      </w:r>
    </w:p>
    <w:bookmarkStart w:id="130" w:name="refs"/>
    <w:bookmarkStart w:id="55" w:name="ref-Alpine88"/>
    <w:p>
      <w:pPr>
        <w:pStyle w:val="Bibliography"/>
      </w:pPr>
      <w:r>
        <w:t xml:space="preserve">Alpine, A.E., Cloern, J.E., 1988. Phytoplankton growth rates in a light-limited environment,</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44, 167–173.</w:t>
      </w:r>
    </w:p>
    <w:bookmarkEnd w:id="55"/>
    <w:bookmarkStart w:id="56" w:name="ref-Beck21"/>
    <w:p>
      <w:pPr>
        <w:pStyle w:val="Bibliography"/>
      </w:pPr>
      <w:r>
        <w:t xml:space="preserve">Beck, M.W., de Valpine, P., Murpy, R., Wren, I., Chelsky, A., Foley, M., Senn, D., 2021.</w:t>
      </w:r>
      <w:r>
        <w:t xml:space="preserve"> </w:t>
      </w:r>
      <w:r>
        <w:t xml:space="preserve">tbep-tech/wqtrends: v1.1.0 (Version v1.1.0). Zenodo. http://doi.org/10.5281/zenodo.4509638</w:t>
      </w:r>
      <w:r>
        <w:t xml:space="preserve">.</w:t>
      </w:r>
    </w:p>
    <w:bookmarkEnd w:id="56"/>
    <w:bookmarkStart w:id="58" w:name="ref-Beck15"/>
    <w:p>
      <w:pPr>
        <w:pStyle w:val="Bibliography"/>
      </w:pPr>
      <w:r>
        <w:t xml:space="preserve">Beck, M.W., Hagy, J.D., III, 2015. Adaptation of a weighted regression approach to evaluate water quality trends in an estuary. Environmental Modelling and Assessment 20, 637–655.</w:t>
      </w:r>
      <w:r>
        <w:t xml:space="preserve"> </w:t>
      </w:r>
      <w:hyperlink r:id="rId57">
        <w:r>
          <w:rPr>
            <w:rStyle w:val="Hyperlink"/>
          </w:rPr>
          <w:t xml:space="preserve">https://doi.org/10.1007/s10666-015-9452-8</w:t>
        </w:r>
      </w:hyperlink>
    </w:p>
    <w:bookmarkEnd w:id="58"/>
    <w:bookmarkStart w:id="60" w:name="ref-Beck18b"/>
    <w:p>
      <w:pPr>
        <w:pStyle w:val="Bibliography"/>
      </w:pPr>
      <w:r>
        <w:t xml:space="preserve">Beck, M.W., Jabusch, T.W., Trowbridge, P.R., Senn, D.B., 2018. Four decades of water quality change in the upper</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212, 11–22.</w:t>
      </w:r>
      <w:r>
        <w:t xml:space="preserve"> </w:t>
      </w:r>
      <w:hyperlink r:id="rId59">
        <w:r>
          <w:rPr>
            <w:rStyle w:val="Hyperlink"/>
          </w:rPr>
          <w:t xml:space="preserve">https://doi.org/10.1016/j.ecss.2018.06.021</w:t>
        </w:r>
      </w:hyperlink>
    </w:p>
    <w:bookmarkEnd w:id="60"/>
    <w:bookmarkStart w:id="62" w:name="ref-Beck17"/>
    <w:p>
      <w:pPr>
        <w:pStyle w:val="Bibliography"/>
      </w:pPr>
      <w:r>
        <w:t xml:space="preserve">Beck, M.W., Murphy, R.R., 2017. Numerical and qualitative contrasts of two statistical models for water quality change in tidal waters. Journal of the American Water Resources Association 53, 197–219.</w:t>
      </w:r>
      <w:r>
        <w:t xml:space="preserve"> </w:t>
      </w:r>
      <w:hyperlink r:id="rId61">
        <w:r>
          <w:rPr>
            <w:rStyle w:val="Hyperlink"/>
          </w:rPr>
          <w:t xml:space="preserve">https://doi.org/10.1111/1752-1688.12489</w:t>
        </w:r>
      </w:hyperlink>
    </w:p>
    <w:bookmarkEnd w:id="62"/>
    <w:bookmarkStart w:id="63" w:name="ref-Cleveland90"/>
    <w:p>
      <w:pPr>
        <w:pStyle w:val="Bibliography"/>
      </w:pPr>
      <w:r>
        <w:t xml:space="preserve">Cleveland, R.B., Cleveland, W.S., McRae, J.E., Terpenning, I., 1990.</w:t>
      </w:r>
      <w:r>
        <w:t xml:space="preserve"> </w:t>
      </w:r>
      <w:r>
        <w:t xml:space="preserve">STL</w:t>
      </w:r>
      <w:r>
        <w:t xml:space="preserve">: A seasonal-trend decomposition procedure based on</w:t>
      </w:r>
      <w:r>
        <w:t xml:space="preserve"> </w:t>
      </w:r>
      <w:r>
        <w:t xml:space="preserve">L</w:t>
      </w:r>
      <w:r>
        <w:t xml:space="preserve">oess. Journal of Official Statistics 6, 3–73.</w:t>
      </w:r>
    </w:p>
    <w:bookmarkEnd w:id="63"/>
    <w:bookmarkStart w:id="65" w:name="ref-Cloern12"/>
    <w:p>
      <w:pPr>
        <w:pStyle w:val="Bibliography"/>
      </w:pPr>
      <w:r>
        <w:t xml:space="preserve">Cloern, J.E., Jassby, A.D., 2012. Drivers of change in estuarine-coastal ecosystems: Discoveries from four decades of study in</w:t>
      </w:r>
      <w:r>
        <w:t xml:space="preserve"> </w:t>
      </w:r>
      <w:r>
        <w:t xml:space="preserve">S</w:t>
      </w:r>
      <w:r>
        <w:t xml:space="preserve">an</w:t>
      </w:r>
      <w:r>
        <w:t xml:space="preserve"> </w:t>
      </w:r>
      <w:r>
        <w:t xml:space="preserve">F</w:t>
      </w:r>
      <w:r>
        <w:t xml:space="preserve">rancisco</w:t>
      </w:r>
      <w:r>
        <w:t xml:space="preserve"> </w:t>
      </w:r>
      <w:r>
        <w:t xml:space="preserve">B</w:t>
      </w:r>
      <w:r>
        <w:t xml:space="preserve">ay. Reviews of Geophysics 50.</w:t>
      </w:r>
      <w:r>
        <w:t xml:space="preserve"> </w:t>
      </w:r>
      <w:hyperlink r:id="rId64">
        <w:r>
          <w:rPr>
            <w:rStyle w:val="Hyperlink"/>
          </w:rPr>
          <w:t xml:space="preserve">https://doi.org/10.1029/2012RG000397</w:t>
        </w:r>
      </w:hyperlink>
    </w:p>
    <w:bookmarkEnd w:id="65"/>
    <w:bookmarkStart w:id="66" w:name="ref-Cloern10"/>
    <w:p>
      <w:pPr>
        <w:pStyle w:val="Bibliography"/>
      </w:pPr>
      <w:r>
        <w:t xml:space="preserve">Cloern, J.E., Jassby, A.D., 2010. Patterns and scales of phytoplankton variability in estuarine-coastal ecosystems. Estuaries and Coasts 33, 230–241.</w:t>
      </w:r>
    </w:p>
    <w:bookmarkEnd w:id="66"/>
    <w:bookmarkStart w:id="67" w:name="ref-Cloern07"/>
    <w:p>
      <w:pPr>
        <w:pStyle w:val="Bibliography"/>
      </w:pPr>
      <w:r>
        <w:t xml:space="preserve">Cloern, J.E., Jassby, A.D., Thompson, J.K., Hieb, K.A., 2007. A cold phase of the</w:t>
      </w:r>
      <w:r>
        <w:t xml:space="preserve"> </w:t>
      </w:r>
      <w:r>
        <w:t xml:space="preserve">E</w:t>
      </w:r>
      <w:r>
        <w:t xml:space="preserve">ast</w:t>
      </w:r>
      <w:r>
        <w:t xml:space="preserve"> </w:t>
      </w:r>
      <w:r>
        <w:t xml:space="preserve">P</w:t>
      </w:r>
      <w:r>
        <w:t xml:space="preserve">acific triggers new phytoplankton blooms in</w:t>
      </w:r>
      <w:r>
        <w:t xml:space="preserve"> </w:t>
      </w:r>
      <w:r>
        <w:t xml:space="preserve">S</w:t>
      </w:r>
      <w:r>
        <w:t xml:space="preserve">an</w:t>
      </w:r>
      <w:r>
        <w:t xml:space="preserve"> </w:t>
      </w:r>
      <w:r>
        <w:t xml:space="preserve">F</w:t>
      </w:r>
      <w:r>
        <w:t xml:space="preserve">rancisco</w:t>
      </w:r>
      <w:r>
        <w:t xml:space="preserve"> </w:t>
      </w:r>
      <w:r>
        <w:t xml:space="preserve">B</w:t>
      </w:r>
      <w:r>
        <w:t xml:space="preserve">ay. Proceedings of the National Academy of Sciences of the United States of America 104, 18561–18565.</w:t>
      </w:r>
    </w:p>
    <w:bookmarkEnd w:id="67"/>
    <w:bookmarkStart w:id="68" w:name="ref-Cloern16"/>
    <w:p>
      <w:pPr>
        <w:pStyle w:val="Bibliography"/>
      </w:pPr>
      <w:r>
        <w:t xml:space="preserve">Cloern, J.E., Schraga, T.S., 2016.</w:t>
      </w:r>
      <w:r>
        <w:t xml:space="preserve"> </w:t>
      </w:r>
      <w:r>
        <w:t xml:space="preserve">USGS measurements of water quality in San Francisco</w:t>
      </w:r>
      <w:r>
        <w:t xml:space="preserve"> </w:t>
      </w:r>
      <w:r>
        <w:t xml:space="preserve">B</w:t>
      </w:r>
      <w:r>
        <w:t xml:space="preserve">ay (CA), 1969-2015: U.S. Geological Survey data release. https://doi.org/10.5066/F7TQ5ZPR</w:t>
      </w:r>
      <w:r>
        <w:t xml:space="preserve">.</w:t>
      </w:r>
    </w:p>
    <w:bookmarkEnd w:id="68"/>
    <w:bookmarkStart w:id="70" w:name="ref-Cloern20"/>
    <w:p>
      <w:pPr>
        <w:pStyle w:val="Bibliography"/>
      </w:pPr>
      <w:r>
        <w:t xml:space="preserve">Cloern, J.E., Shcraga, T.S., Nejad, E., Martin, C., 2020. Nutrient status of</w:t>
      </w:r>
      <w:r>
        <w:t xml:space="preserve"> </w:t>
      </w:r>
      <w:r>
        <w:t xml:space="preserve">S</w:t>
      </w:r>
      <w:r>
        <w:t xml:space="preserve">an</w:t>
      </w:r>
      <w:r>
        <w:t xml:space="preserve"> </w:t>
      </w:r>
      <w:r>
        <w:t xml:space="preserve">F</w:t>
      </w:r>
      <w:r>
        <w:t xml:space="preserve">rancisco</w:t>
      </w:r>
      <w:r>
        <w:t xml:space="preserve"> </w:t>
      </w:r>
      <w:r>
        <w:t xml:space="preserve">B</w:t>
      </w:r>
      <w:r>
        <w:t xml:space="preserve">ay and its management implications. Estuaries &amp; Coasts 43, 1299–1317.</w:t>
      </w:r>
      <w:r>
        <w:t xml:space="preserve"> </w:t>
      </w:r>
      <w:hyperlink r:id="rId69">
        <w:r>
          <w:rPr>
            <w:rStyle w:val="Hyperlink"/>
          </w:rPr>
          <w:t xml:space="preserve">https://doi.org/10.1007/s12237-020-00737-w</w:t>
        </w:r>
      </w:hyperlink>
    </w:p>
    <w:bookmarkEnd w:id="70"/>
    <w:bookmarkStart w:id="71" w:name="ref-Cole84"/>
    <w:p>
      <w:pPr>
        <w:pStyle w:val="Bibliography"/>
      </w:pPr>
      <w:r>
        <w:t xml:space="preserve">Cole, B.E., Cloern, J.E., 1984. Significance of biomass and light availability to phytoplankton productivity in</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17, 15–24.</w:t>
      </w:r>
    </w:p>
    <w:bookmarkEnd w:id="71"/>
    <w:bookmarkStart w:id="72" w:name="ref-Cumming06"/>
    <w:p>
      <w:pPr>
        <w:pStyle w:val="Bibliography"/>
      </w:pPr>
      <w:r>
        <w:t xml:space="preserve">Cumming, G.S., Cumming, D.H.M., Redman, C.L., 2006. Scale mismatches in social-ecological systems: Causes, consequences, and solutions. Ecology and Society 11, 14.</w:t>
      </w:r>
    </w:p>
    <w:bookmarkEnd w:id="72"/>
    <w:bookmarkStart w:id="74" w:name="ref-Forbes18"/>
    <w:p>
      <w:pPr>
        <w:pStyle w:val="Bibliography"/>
      </w:pPr>
      <w:r>
        <w:t xml:space="preserve">Forbes, D.J., Xie, Z., 2018. Identifying process scales in the</w:t>
      </w:r>
      <w:r>
        <w:t xml:space="preserve"> </w:t>
      </w:r>
      <w:r>
        <w:t xml:space="preserve">I</w:t>
      </w:r>
      <w:r>
        <w:t xml:space="preserve">ndian</w:t>
      </w:r>
      <w:r>
        <w:t xml:space="preserve"> </w:t>
      </w:r>
      <w:r>
        <w:t xml:space="preserve">R</w:t>
      </w:r>
      <w:r>
        <w:t xml:space="preserve">iver</w:t>
      </w:r>
      <w:r>
        <w:t xml:space="preserve"> </w:t>
      </w:r>
      <w:r>
        <w:t xml:space="preserve">L</w:t>
      </w:r>
      <w:r>
        <w:t xml:space="preserve">agoon,</w:t>
      </w:r>
      <w:r>
        <w:t xml:space="preserve"> </w:t>
      </w:r>
      <w:r>
        <w:t xml:space="preserve">F</w:t>
      </w:r>
      <w:r>
        <w:t xml:space="preserve">lorida using wavelet transform analysis of dissolved oxygen. Ecological Complexity 36, 149–167.</w:t>
      </w:r>
      <w:r>
        <w:t xml:space="preserve"> </w:t>
      </w:r>
      <w:hyperlink r:id="rId73">
        <w:r>
          <w:rPr>
            <w:rStyle w:val="Hyperlink"/>
          </w:rPr>
          <w:t xml:space="preserve">https://doi.org/10.1016/j.ecocom.2018.07.005</w:t>
        </w:r>
      </w:hyperlink>
    </w:p>
    <w:bookmarkEnd w:id="74"/>
    <w:bookmarkStart w:id="76" w:name="ref-Gasparrini12"/>
    <w:p>
      <w:pPr>
        <w:pStyle w:val="Bibliography"/>
      </w:pPr>
      <w:r>
        <w:t xml:space="preserve">Gasparrini, A., Armstrong, B., Kenward, M.G., 2012. Multivariate meta-analysis for non-linear and other multi-parameter associations. Statistics in Medicine 31, 3821–3839.</w:t>
      </w:r>
      <w:r>
        <w:t xml:space="preserve"> </w:t>
      </w:r>
      <w:hyperlink r:id="rId75">
        <w:r>
          <w:rPr>
            <w:rStyle w:val="Hyperlink"/>
          </w:rPr>
          <w:t xml:space="preserve">https://doi.org/10.1002/sim.5471</w:t>
        </w:r>
      </w:hyperlink>
    </w:p>
    <w:bookmarkEnd w:id="76"/>
    <w:bookmarkStart w:id="77" w:name="ref-Hafen10"/>
    <w:p>
      <w:pPr>
        <w:pStyle w:val="Bibliography"/>
      </w:pPr>
      <w:r>
        <w:t xml:space="preserve">Hafen, R.P., 2010. Local regression models: Advancements, applications, and new methods (PhD thesis). Purdue University, West Lafayette, Indiana.</w:t>
      </w:r>
    </w:p>
    <w:bookmarkEnd w:id="77"/>
    <w:bookmarkStart w:id="78" w:name="ref-Haraguchi15"/>
    <w:p>
      <w:pPr>
        <w:pStyle w:val="Bibliography"/>
      </w:pPr>
      <w:r>
        <w:t xml:space="preserve">Haraguchi, L., Carstensen, J., Abreu, P.C., Odebrecht, C., 2015. Long-term changes of the phytoplankton community and biomass in the subtropical shallow</w:t>
      </w:r>
      <w:r>
        <w:t xml:space="preserve"> </w:t>
      </w:r>
      <w:r>
        <w:t xml:space="preserve">P</w:t>
      </w:r>
      <w:r>
        <w:t xml:space="preserve">atos</w:t>
      </w:r>
      <w:r>
        <w:t xml:space="preserve"> </w:t>
      </w:r>
      <w:r>
        <w:t xml:space="preserve">L</w:t>
      </w:r>
      <w:r>
        <w:t xml:space="preserve">agoon</w:t>
      </w:r>
      <w:r>
        <w:t xml:space="preserve"> </w:t>
      </w:r>
      <w:r>
        <w:t xml:space="preserve">E</w:t>
      </w:r>
      <w:r>
        <w:t xml:space="preserve">stuary,</w:t>
      </w:r>
      <w:r>
        <w:t xml:space="preserve"> </w:t>
      </w:r>
      <w:r>
        <w:t xml:space="preserve">B</w:t>
      </w:r>
      <w:r>
        <w:t xml:space="preserve">razil. Estuarine, Coastal and Shelf Science 162, 76–87.</w:t>
      </w:r>
    </w:p>
    <w:bookmarkEnd w:id="78"/>
    <w:bookmarkStart w:id="80" w:name="ref-He06"/>
    <w:p>
      <w:pPr>
        <w:pStyle w:val="Bibliography"/>
      </w:pPr>
      <w:r>
        <w:t xml:space="preserve">He, S., Mazumdar, S., Arena, V.C., 2006. A comparative study of the use of</w:t>
      </w:r>
      <w:r>
        <w:t xml:space="preserve"> </w:t>
      </w:r>
      <w:r>
        <w:t xml:space="preserve">GAM</w:t>
      </w:r>
      <w:r>
        <w:t xml:space="preserve"> </w:t>
      </w:r>
      <w:r>
        <w:t xml:space="preserve">and</w:t>
      </w:r>
      <w:r>
        <w:t xml:space="preserve"> </w:t>
      </w:r>
      <w:r>
        <w:t xml:space="preserve">GLM</w:t>
      </w:r>
      <w:r>
        <w:t xml:space="preserve"> </w:t>
      </w:r>
      <w:r>
        <w:t xml:space="preserve">in air pollution research. Environmetrics 17, 81–93.</w:t>
      </w:r>
      <w:r>
        <w:t xml:space="preserve"> </w:t>
      </w:r>
      <w:hyperlink r:id="rId79">
        <w:r>
          <w:rPr>
            <w:rStyle w:val="Hyperlink"/>
          </w:rPr>
          <w:t xml:space="preserve">https://doi.org/10.1002/env.751</w:t>
        </w:r>
      </w:hyperlink>
    </w:p>
    <w:bookmarkEnd w:id="80"/>
    <w:bookmarkStart w:id="81" w:name="ref-Helsel20"/>
    <w:p>
      <w:pPr>
        <w:pStyle w:val="Bibliography"/>
      </w:pPr>
      <w:r>
        <w:t xml:space="preserve">Helsel, D.R., Hirsch, R.M., Ryberg, K.R., Archfield, S.A., Gilroy, E.J., 2020. Statistical methods in water resources, 2nd ed.</w:t>
      </w:r>
      <w:r>
        <w:t xml:space="preserve"> </w:t>
      </w:r>
      <w:r>
        <w:t xml:space="preserve">U.S.</w:t>
      </w:r>
      <w:r>
        <w:t xml:space="preserve"> </w:t>
      </w:r>
      <w:r>
        <w:t xml:space="preserve">Geological Survey Techniques; Methods, book 4, chapter A3, version 1.1, Reston, Virginia.</w:t>
      </w:r>
    </w:p>
    <w:bookmarkEnd w:id="81"/>
    <w:bookmarkStart w:id="83" w:name="ref-Hirsch15"/>
    <w:p>
      <w:pPr>
        <w:pStyle w:val="Bibliography"/>
      </w:pPr>
      <w:r>
        <w:t xml:space="preserve">Hirsch, R.M., Archfield, S.A., De Cicco, L.A., 2015. A bootstrap method for estimating uncertainty of water quality trends. Environmental Modelling and Software 73, 148–166.</w:t>
      </w:r>
      <w:r>
        <w:t xml:space="preserve"> </w:t>
      </w:r>
      <w:hyperlink r:id="rId82">
        <w:r>
          <w:rPr>
            <w:rStyle w:val="Hyperlink"/>
          </w:rPr>
          <w:t xml:space="preserve">https://doi.org/10.1016/j.envsoft.2015.07.017</w:t>
        </w:r>
      </w:hyperlink>
    </w:p>
    <w:bookmarkEnd w:id="83"/>
    <w:bookmarkStart w:id="84" w:name="ref-Hirsch10"/>
    <w:p>
      <w:pPr>
        <w:pStyle w:val="Bibliography"/>
      </w:pPr>
      <w:r>
        <w:t xml:space="preserve">Hirsch, R.M., Moyer, D.L., Archfield, S.A., 2010. Weighted regressions on time, discharge, and season (</w:t>
      </w:r>
      <w:r>
        <w:t xml:space="preserve">WRTDS</w:t>
      </w:r>
      <w:r>
        <w:t xml:space="preserve">), with an application to</w:t>
      </w:r>
      <w:r>
        <w:t xml:space="preserve"> </w:t>
      </w:r>
      <w:r>
        <w:t xml:space="preserve">C</w:t>
      </w:r>
      <w:r>
        <w:t xml:space="preserve">hesapeake</w:t>
      </w:r>
      <w:r>
        <w:t xml:space="preserve"> </w:t>
      </w:r>
      <w:r>
        <w:t xml:space="preserve">B</w:t>
      </w:r>
      <w:r>
        <w:t xml:space="preserve">ay river inputs. Journal of the American Water Resources Association 46, 857–880.</w:t>
      </w:r>
    </w:p>
    <w:bookmarkEnd w:id="84"/>
    <w:bookmarkStart w:id="85" w:name="ref-Hirsch82"/>
    <w:p>
      <w:pPr>
        <w:pStyle w:val="Bibliography"/>
      </w:pPr>
      <w:r>
        <w:t xml:space="preserve">Hirsch, R.M., Slack, J.R., Smith, R.A., 1982. Techniques of trend analysis for monthly water quality data. Water Resources Research 18, 107–121.</w:t>
      </w:r>
    </w:p>
    <w:bookmarkEnd w:id="85"/>
    <w:bookmarkStart w:id="86" w:name="ref-Jassby08"/>
    <w:p>
      <w:pPr>
        <w:pStyle w:val="Bibliography"/>
      </w:pPr>
      <w:r>
        <w:t xml:space="preserve">Jassby, A.D., 2008. Phytoplankton in the</w:t>
      </w:r>
      <w:r>
        <w:t xml:space="preserve"> </w:t>
      </w:r>
      <w:r>
        <w:t xml:space="preserve">U</w:t>
      </w:r>
      <w:r>
        <w:t xml:space="preserve">pper</w:t>
      </w:r>
      <w:r>
        <w:t xml:space="preserve"> </w:t>
      </w:r>
      <w:r>
        <w:t xml:space="preserve">S</w:t>
      </w:r>
      <w:r>
        <w:t xml:space="preserve">an</w:t>
      </w:r>
      <w:r>
        <w:t xml:space="preserve"> </w:t>
      </w:r>
      <w:r>
        <w:t xml:space="preserve">F</w:t>
      </w:r>
      <w:r>
        <w:t xml:space="preserve">rancisco</w:t>
      </w:r>
      <w:r>
        <w:t xml:space="preserve"> </w:t>
      </w:r>
      <w:r>
        <w:t xml:space="preserve">E</w:t>
      </w:r>
      <w:r>
        <w:t xml:space="preserve">stuary: Recent biomass trends, their causes, and their trophic significance. San Francisco Estuary and Watershed Science 6, 1–24.</w:t>
      </w:r>
    </w:p>
    <w:bookmarkEnd w:id="86"/>
    <w:bookmarkStart w:id="87" w:name="ref-Jassby02"/>
    <w:p>
      <w:pPr>
        <w:pStyle w:val="Bibliography"/>
      </w:pPr>
      <w:r>
        <w:t xml:space="preserve">Jassby, A.D., Cloern, J.E., Cole, B.E., 2002. Annual primary production: Patterns and mechanisms of change in a nutrient-rich tidal ecosystem. Limnology and Oceanography 47, 698–712.</w:t>
      </w:r>
    </w:p>
    <w:bookmarkEnd w:id="87"/>
    <w:bookmarkStart w:id="89" w:name="ref-Junninen04"/>
    <w:p>
      <w:pPr>
        <w:pStyle w:val="Bibliography"/>
      </w:pPr>
      <w:r>
        <w:t xml:space="preserve">Junninen, H., Niska, H., Tuppurainen, K., Ruuskanen, J., Kolehmainen, M., 2004. Methods for imputation of missing values in air quality data sets. Atmospheric Environment 38, 2895–2907.</w:t>
      </w:r>
      <w:r>
        <w:t xml:space="preserve"> </w:t>
      </w:r>
      <w:hyperlink r:id="rId88">
        <w:r>
          <w:rPr>
            <w:rStyle w:val="Hyperlink"/>
          </w:rPr>
          <w:t xml:space="preserve">https://doi.org/10.1016/j.atmosenv.2004.02.026</w:t>
        </w:r>
      </w:hyperlink>
    </w:p>
    <w:bookmarkEnd w:id="89"/>
    <w:bookmarkStart w:id="90" w:name="ref-Kimmerer14"/>
    <w:p>
      <w:pPr>
        <w:pStyle w:val="Bibliography"/>
      </w:pPr>
      <w:r>
        <w:t xml:space="preserve">Kimmerer, W.J., Thompson, J.K., 2014. Phytoplankton growth balanced by clam and zooplankton grazing and net transport into the low-salinity zone of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Estuaries and Coasts 37, 1202–1218.</w:t>
      </w:r>
    </w:p>
    <w:bookmarkEnd w:id="90"/>
    <w:bookmarkStart w:id="92" w:name="ref-Lefcheck17"/>
    <w:p>
      <w:pPr>
        <w:pStyle w:val="Bibliography"/>
      </w:pPr>
      <w:r>
        <w:t xml:space="preserve">Lefcheck, J.S., Wilcox, D.J., Murphy, R.R., Marion, S.R., Orth, R.J., 2017. Multiple stressors threaten the imperiled coastal foundation species eelgrass (</w:t>
      </w:r>
      <w:r>
        <w:rPr>
          <w:iCs/>
          <w:i/>
        </w:rPr>
        <w:t xml:space="preserve">zostera marina</w:t>
      </w:r>
      <w:r>
        <w:t xml:space="preserve">) in</w:t>
      </w:r>
      <w:r>
        <w:t xml:space="preserve"> </w:t>
      </w:r>
      <w:r>
        <w:t xml:space="preserve">C</w:t>
      </w:r>
      <w:r>
        <w:t xml:space="preserve">hesapeake</w:t>
      </w:r>
      <w:r>
        <w:t xml:space="preserve"> </w:t>
      </w:r>
      <w:r>
        <w:t xml:space="preserve">B</w:t>
      </w:r>
      <w:r>
        <w:t xml:space="preserve">ay,</w:t>
      </w:r>
      <w:r>
        <w:t xml:space="preserve"> </w:t>
      </w:r>
      <w:r>
        <w:t xml:space="preserve">USA</w:t>
      </w:r>
      <w:r>
        <w:t xml:space="preserve">. Global Change Biology 23, 3474–3483.</w:t>
      </w:r>
      <w:r>
        <w:t xml:space="preserve"> </w:t>
      </w:r>
      <w:hyperlink r:id="rId91">
        <w:r>
          <w:rPr>
            <w:rStyle w:val="Hyperlink"/>
          </w:rPr>
          <w:t xml:space="preserve">https://doi.org/10.1111/gcb.13623</w:t>
        </w:r>
      </w:hyperlink>
    </w:p>
    <w:bookmarkEnd w:id="92"/>
    <w:bookmarkStart w:id="94" w:name="ref-Lehman17"/>
    <w:p>
      <w:pPr>
        <w:pStyle w:val="Bibliography"/>
      </w:pPr>
      <w:r>
        <w:t xml:space="preserve">Lehman, P.W., Kurobe, T., Lesmeister, S., Baxa, D., Tung, A., Teh, S.J., 2017. Impacts of the 2014 severe drought on the</w:t>
      </w:r>
      <w:r>
        <w:t xml:space="preserve"> </w:t>
      </w:r>
      <w:r>
        <w:t xml:space="preserve">M</w:t>
      </w:r>
      <w:r>
        <w:t xml:space="preserve">icrocystis bloom in</w:t>
      </w:r>
      <w:r>
        <w:t xml:space="preserve"> </w:t>
      </w:r>
      <w:r>
        <w:t xml:space="preserve">S</w:t>
      </w:r>
      <w:r>
        <w:t xml:space="preserve">an</w:t>
      </w:r>
      <w:r>
        <w:t xml:space="preserve"> </w:t>
      </w:r>
      <w:r>
        <w:t xml:space="preserve">F</w:t>
      </w:r>
      <w:r>
        <w:t xml:space="preserve">rancisco</w:t>
      </w:r>
      <w:r>
        <w:t xml:space="preserve"> </w:t>
      </w:r>
      <w:r>
        <w:t xml:space="preserve">E</w:t>
      </w:r>
      <w:r>
        <w:t xml:space="preserve">stuary. Harmful Algae 63, 94–108.</w:t>
      </w:r>
      <w:r>
        <w:t xml:space="preserve"> </w:t>
      </w:r>
      <w:hyperlink r:id="rId93">
        <w:r>
          <w:rPr>
            <w:rStyle w:val="Hyperlink"/>
          </w:rPr>
          <w:t xml:space="preserve">https://doi.org/10.1016/j.hal.2017.01.011</w:t>
        </w:r>
      </w:hyperlink>
    </w:p>
    <w:bookmarkEnd w:id="94"/>
    <w:bookmarkStart w:id="96" w:name="ref-Lortie14"/>
    <w:p>
      <w:pPr>
        <w:pStyle w:val="Bibliography"/>
      </w:pPr>
      <w:r>
        <w:t xml:space="preserve">Lortie, C.J., 2014. Formalized synthesis opportunities for ecology: Systematic reviews and meta-analyses. OIKOS 123, 897–902.</w:t>
      </w:r>
      <w:r>
        <w:t xml:space="preserve"> </w:t>
      </w:r>
      <w:hyperlink r:id="rId95">
        <w:r>
          <w:rPr>
            <w:rStyle w:val="Hyperlink"/>
          </w:rPr>
          <w:t xml:space="preserve">https://doi.org/10.1111/j.1600-0706.2013.00970.x</w:t>
        </w:r>
      </w:hyperlink>
    </w:p>
    <w:bookmarkEnd w:id="96"/>
    <w:bookmarkStart w:id="98" w:name="ref-Morton08"/>
    <w:p>
      <w:pPr>
        <w:pStyle w:val="Bibliography"/>
      </w:pPr>
      <w:r>
        <w:t xml:space="preserve">Morton, R., Henderson, B.L., 2008. Estimation of nonlinear trends in water quality: An improved approach using generalized additive models. Water Resources Research 44, W07420.</w:t>
      </w:r>
      <w:r>
        <w:t xml:space="preserve"> </w:t>
      </w:r>
      <w:hyperlink r:id="rId97">
        <w:r>
          <w:rPr>
            <w:rStyle w:val="Hyperlink"/>
          </w:rPr>
          <w:t xml:space="preserve">https://doi.org/10.1029/2007WR006191</w:t>
        </w:r>
      </w:hyperlink>
    </w:p>
    <w:bookmarkEnd w:id="98"/>
    <w:bookmarkStart w:id="100"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99">
        <w:r>
          <w:rPr>
            <w:rStyle w:val="Hyperlink"/>
          </w:rPr>
          <w:t xml:space="preserve">https://doi.org/10.1016/j.envsoft.2019.03.027</w:t>
        </w:r>
      </w:hyperlink>
    </w:p>
    <w:bookmarkEnd w:id="100"/>
    <w:bookmarkStart w:id="102" w:name="ref-Navarro12"/>
    <w:p>
      <w:pPr>
        <w:pStyle w:val="Bibliography"/>
      </w:pPr>
      <w:r>
        <w:t xml:space="preserve">Navarro, G., Caballero, I., Prieto, L., Vázquez, A., Flecha, S., Huertas, I.E., Ruiz, J., 2012. Seasonal-to-interannual variability of chlorophyll-</w:t>
      </w:r>
      <w:r>
        <w:rPr>
          <w:iCs/>
          <w:i/>
        </w:rPr>
        <w:t xml:space="preserve">a</w:t>
      </w:r>
      <w:r>
        <w:t xml:space="preserve"> </w:t>
      </w:r>
      <w:r>
        <w:t xml:space="preserve">bloom timing associated with physical forcing in the</w:t>
      </w:r>
      <w:r>
        <w:t xml:space="preserve"> </w:t>
      </w:r>
      <w:r>
        <w:t xml:space="preserve">G</w:t>
      </w:r>
      <w:r>
        <w:t xml:space="preserve">ulf of</w:t>
      </w:r>
      <w:r>
        <w:t xml:space="preserve"> </w:t>
      </w:r>
      <w:r>
        <w:t xml:space="preserve">C</w:t>
      </w:r>
      <w:r>
        <w:t xml:space="preserve">ádiz. Advances in Space Research 50, 1164–1172.</w:t>
      </w:r>
      <w:r>
        <w:t xml:space="preserve"> </w:t>
      </w:r>
      <w:hyperlink r:id="rId101">
        <w:r>
          <w:rPr>
            <w:rStyle w:val="Hyperlink"/>
          </w:rPr>
          <w:t xml:space="preserve">https://doi.org/10.1016/j.asr.2011.11.034</w:t>
        </w:r>
      </w:hyperlink>
    </w:p>
    <w:bookmarkEnd w:id="102"/>
    <w:bookmarkStart w:id="103" w:name="ref-Novick14"/>
    <w:p>
      <w:pPr>
        <w:pStyle w:val="Bibliography"/>
      </w:pPr>
      <w:r>
        <w:t xml:space="preserve">Novick, E., Senn, D., 2014. External nutrient loads to</w:t>
      </w:r>
      <w:r>
        <w:t xml:space="preserve"> </w:t>
      </w:r>
      <w:r>
        <w:t xml:space="preserve">S</w:t>
      </w:r>
      <w:r>
        <w:t xml:space="preserve">an</w:t>
      </w:r>
      <w:r>
        <w:t xml:space="preserve"> </w:t>
      </w:r>
      <w:r>
        <w:t xml:space="preserve">F</w:t>
      </w:r>
      <w:r>
        <w:t xml:space="preserve">rancisco</w:t>
      </w:r>
      <w:r>
        <w:t xml:space="preserve"> </w:t>
      </w:r>
      <w:r>
        <w:t xml:space="preserve">B</w:t>
      </w:r>
      <w:r>
        <w:t xml:space="preserve">ay (No. Contribution Number 704). San Francisco Estuary Institute, Richmond, CA.</w:t>
      </w:r>
    </w:p>
    <w:bookmarkEnd w:id="103"/>
    <w:bookmarkStart w:id="105" w:name="ref-Pearce11"/>
    <w:p>
      <w:pPr>
        <w:pStyle w:val="Bibliography"/>
      </w:pPr>
      <w:r>
        <w:t xml:space="preserve">Pearce, J.L., Beringer, J., Nicholls, N., Hyndman, R.J., Tapper, N.J., 2011. Quantifying the influence of local meteorology on air quality using generalized additive models. Atmospheric Environment 45, 1328–1336.</w:t>
      </w:r>
      <w:r>
        <w:t xml:space="preserve"> </w:t>
      </w:r>
      <w:hyperlink r:id="rId104">
        <w:r>
          <w:rPr>
            <w:rStyle w:val="Hyperlink"/>
          </w:rPr>
          <w:t xml:space="preserve">https://doi.org/10.1016/j.atmosenv.2010.11.051</w:t>
        </w:r>
      </w:hyperlink>
    </w:p>
    <w:bookmarkEnd w:id="105"/>
    <w:bookmarkStart w:id="106" w:name="ref-RCT20"/>
    <w:p>
      <w:pPr>
        <w:pStyle w:val="Bibliography"/>
      </w:pPr>
      <w:r>
        <w:t xml:space="preserve">R Core Team, 2020. R: A language and environment for statistical computing. R Foundation for Statistical Computing, R v4.0.2, Vienna, Austria.</w:t>
      </w:r>
    </w:p>
    <w:bookmarkEnd w:id="106"/>
    <w:bookmarkStart w:id="108" w:name="ref-Racault14"/>
    <w:p>
      <w:pPr>
        <w:pStyle w:val="Bibliography"/>
      </w:pPr>
      <w:r>
        <w:t xml:space="preserve">Racault, M.F., Sathyendranath, S., Platt, T., 2014. Impact of missing data on the estimation of ecological indicators from satellite ocean-colour time series. Remote Sensing of Environment 152, 15–28.</w:t>
      </w:r>
      <w:r>
        <w:t xml:space="preserve"> </w:t>
      </w:r>
      <w:hyperlink r:id="rId107">
        <w:r>
          <w:rPr>
            <w:rStyle w:val="Hyperlink"/>
          </w:rPr>
          <w:t xml:space="preserve">https://doi.org/10.1016/j.rse.2014.05.016</w:t>
        </w:r>
      </w:hyperlink>
    </w:p>
    <w:bookmarkEnd w:id="108"/>
    <w:bookmarkStart w:id="109" w:name="ref-Schraga20"/>
    <w:p>
      <w:pPr>
        <w:pStyle w:val="Bibliography"/>
      </w:pPr>
      <w:r>
        <w:t xml:space="preserve">Schraga, T.S., Nejad, E.S., Martin, C.A., Cloern, J.E., 2020.</w:t>
      </w:r>
      <w:r>
        <w:t xml:space="preserve"> </w:t>
      </w:r>
      <w:r>
        <w:t xml:space="preserve">USGS measurements of water quality in San Francisco (CA), beginning in 2016 (ver. 3.0, March 2020): U.S. Geological Survey data release. https://doi.org/10.5066/F7D21WGF</w:t>
      </w:r>
      <w:r>
        <w:t xml:space="preserve">.</w:t>
      </w:r>
    </w:p>
    <w:bookmarkEnd w:id="109"/>
    <w:bookmarkStart w:id="111" w:name="ref-Sera19"/>
    <w:p>
      <w:pPr>
        <w:pStyle w:val="Bibliography"/>
      </w:pPr>
      <w:r>
        <w:t xml:space="preserve">Sera, F., Armstrong, B., Blangiardo, M., Gasparrini, A., 2019. An extended mixed-effects framework for meta-analysis. Statistics in Medicine 38, 5429–5444.</w:t>
      </w:r>
      <w:r>
        <w:t xml:space="preserve"> </w:t>
      </w:r>
      <w:hyperlink r:id="rId110">
        <w:r>
          <w:rPr>
            <w:rStyle w:val="Hyperlink"/>
          </w:rPr>
          <w:t xml:space="preserve">https://doi.org/10.1002/sim.8362</w:t>
        </w:r>
      </w:hyperlink>
    </w:p>
    <w:bookmarkEnd w:id="111"/>
    <w:bookmarkStart w:id="113" w:name="ref-Shabman03"/>
    <w:p>
      <w:pPr>
        <w:pStyle w:val="Bibliography"/>
      </w:pPr>
      <w:r>
        <w:t xml:space="preserve">Shabman, L., Smith, E., 2003. Implications of applying statistically based procedures for water quality assessment. Journal of Water Resources Planning and Management 129, 330–336.</w:t>
      </w:r>
      <w:r>
        <w:t xml:space="preserve"> </w:t>
      </w:r>
      <w:hyperlink r:id="rId112">
        <w:r>
          <w:rPr>
            <w:rStyle w:val="Hyperlink"/>
          </w:rPr>
          <w:t xml:space="preserve">https://doi.org/10.1061/(ASCE)0733-9496(2003)129:4(330)</w:t>
        </w:r>
      </w:hyperlink>
    </w:p>
    <w:bookmarkEnd w:id="113"/>
    <w:bookmarkStart w:id="115" w:name="ref-Smith01"/>
    <w:p>
      <w:pPr>
        <w:pStyle w:val="Bibliography"/>
      </w:pPr>
      <w:r>
        <w:t xml:space="preserve">Smith, E.P., Ye, K., Hughes, C., Shabman, L., 2001. Statistical assessment of violations of water quality standards under section 303 (d) of the</w:t>
      </w:r>
      <w:r>
        <w:t xml:space="preserve"> </w:t>
      </w:r>
      <w:r>
        <w:t xml:space="preserve">C</w:t>
      </w:r>
      <w:r>
        <w:t xml:space="preserve">lean</w:t>
      </w:r>
      <w:r>
        <w:t xml:space="preserve"> </w:t>
      </w:r>
      <w:r>
        <w:t xml:space="preserve">W</w:t>
      </w:r>
      <w:r>
        <w:t xml:space="preserve">ater</w:t>
      </w:r>
      <w:r>
        <w:t xml:space="preserve"> </w:t>
      </w:r>
      <w:r>
        <w:t xml:space="preserve">A</w:t>
      </w:r>
      <w:r>
        <w:t xml:space="preserve">ct. Environmental science &amp; technology 35, 606–612.</w:t>
      </w:r>
      <w:r>
        <w:t xml:space="preserve"> </w:t>
      </w:r>
      <w:hyperlink r:id="rId114">
        <w:r>
          <w:rPr>
            <w:rStyle w:val="Hyperlink"/>
          </w:rPr>
          <w:t xml:space="preserve">https://doi.org/10.1021/es001159e</w:t>
        </w:r>
      </w:hyperlink>
    </w:p>
    <w:bookmarkEnd w:id="115"/>
    <w:bookmarkStart w:id="117" w:name="ref-Stow15"/>
    <w:p>
      <w:pPr>
        <w:pStyle w:val="Bibliography"/>
      </w:pPr>
      <w:r>
        <w:t xml:space="preserve">Stow, C.A., Cha, Y., Johnson, L.T., Confesor, R., Richards, R.P., 2015. Long-term and seasonal trend decomposition of</w:t>
      </w:r>
      <w:r>
        <w:t xml:space="preserve"> </w:t>
      </w:r>
      <w:r>
        <w:t xml:space="preserve">M</w:t>
      </w:r>
      <w:r>
        <w:t xml:space="preserve">aumee</w:t>
      </w:r>
      <w:r>
        <w:t xml:space="preserve"> </w:t>
      </w:r>
      <w:r>
        <w:t xml:space="preserve">R</w:t>
      </w:r>
      <w:r>
        <w:t xml:space="preserve">iver nutrient inputs to western</w:t>
      </w:r>
      <w:r>
        <w:t xml:space="preserve"> </w:t>
      </w:r>
      <w:r>
        <w:t xml:space="preserve">L</w:t>
      </w:r>
      <w:r>
        <w:t xml:space="preserve">ake</w:t>
      </w:r>
      <w:r>
        <w:t xml:space="preserve"> </w:t>
      </w:r>
      <w:r>
        <w:t xml:space="preserve">E</w:t>
      </w:r>
      <w:r>
        <w:t xml:space="preserve">rie. Environmental Science and Technology 49, 3392–3400.</w:t>
      </w:r>
      <w:r>
        <w:t xml:space="preserve"> </w:t>
      </w:r>
      <w:hyperlink r:id="rId116">
        <w:r>
          <w:rPr>
            <w:rStyle w:val="Hyperlink"/>
          </w:rPr>
          <w:t xml:space="preserve">https://doi.org/10.1021/es5062648</w:t>
        </w:r>
      </w:hyperlink>
    </w:p>
    <w:bookmarkEnd w:id="117"/>
    <w:bookmarkStart w:id="119" w:name="ref-Urquhart98"/>
    <w:p>
      <w:pPr>
        <w:pStyle w:val="Bibliography"/>
      </w:pPr>
      <w:r>
        <w:t xml:space="preserve">Urquhart, N.S., Paulsen, S.G., Larsen, D.P., 1998. Monitoring for policy-relevant regional trends over time. Ecological Applications 8, 246–257.</w:t>
      </w:r>
      <w:r>
        <w:t xml:space="preserve"> </w:t>
      </w:r>
      <w:hyperlink r:id="rId118">
        <w:r>
          <w:rPr>
            <w:rStyle w:val="Hyperlink"/>
          </w:rPr>
          <w:t xml:space="preserve">https://doi.org/10.1890/1051-0761(1998)008[0246:MFPRRO]2.0.CO;2</w:t>
        </w:r>
      </w:hyperlink>
    </w:p>
    <w:bookmarkEnd w:id="119"/>
    <w:bookmarkStart w:id="120" w:name="ref-Wan17"/>
    <w:p>
      <w:pPr>
        <w:pStyle w:val="Bibliography"/>
      </w:pPr>
      <w:r>
        <w:t xml:space="preserve">Wan, Y., Wan, L., Li, Y., Doering, P., 2017. Decadal and seasonal trends of nutrient concentration and export from highly managed coastal catchments. Water Research 115, 180–194.</w:t>
      </w:r>
    </w:p>
    <w:bookmarkEnd w:id="120"/>
    <w:bookmarkStart w:id="121" w:name="ref-Wood17"/>
    <w:p>
      <w:pPr>
        <w:pStyle w:val="Bibliography"/>
      </w:pPr>
      <w:r>
        <w:t xml:space="preserve">Wood, S.N., 2017. Generalized additive models: An introduction with r, 2nd ed. Chapman; Hall, CRC Press, London, United Kingdom.</w:t>
      </w:r>
    </w:p>
    <w:bookmarkEnd w:id="121"/>
    <w:bookmarkStart w:id="123" w:name="ref-Wood04"/>
    <w:p>
      <w:pPr>
        <w:pStyle w:val="Bibliography"/>
      </w:pPr>
      <w:r>
        <w:t xml:space="preserve">Wood, S.N., 2004. Stable and efficient multiple smoothing parameter estimation for generalized additive models. Journal of the American Statistical Association 99, 673–686.</w:t>
      </w:r>
      <w:r>
        <w:t xml:space="preserve"> </w:t>
      </w:r>
      <w:hyperlink r:id="rId122">
        <w:r>
          <w:rPr>
            <w:rStyle w:val="Hyperlink"/>
          </w:rPr>
          <w:t xml:space="preserve">https://doi.org/10.1198/016214504000000980</w:t>
        </w:r>
      </w:hyperlink>
    </w:p>
    <w:bookmarkEnd w:id="123"/>
    <w:bookmarkStart w:id="125" w:name="ref-Wood03"/>
    <w:p>
      <w:pPr>
        <w:pStyle w:val="Bibliography"/>
      </w:pPr>
      <w:r>
        <w:t xml:space="preserve">Wood, S.N., 2003. Thin-plate regression splines. Journal of the Royal Statistical Society (B) 65, 95–114.</w:t>
      </w:r>
      <w:r>
        <w:t xml:space="preserve"> </w:t>
      </w:r>
      <w:hyperlink r:id="rId124">
        <w:r>
          <w:rPr>
            <w:rStyle w:val="Hyperlink"/>
          </w:rPr>
          <w:t xml:space="preserve">https://doi.org/10.1111/1467-9868.00374</w:t>
        </w:r>
      </w:hyperlink>
    </w:p>
    <w:bookmarkEnd w:id="125"/>
    <w:bookmarkStart w:id="127" w:name="ref-Wood02"/>
    <w:p>
      <w:pPr>
        <w:pStyle w:val="Bibliography"/>
      </w:pPr>
      <w:r>
        <w:t xml:space="preserve">Wood, S.N., Augustin, N.H., 2002.</w:t>
      </w:r>
      <w:r>
        <w:t xml:space="preserve"> </w:t>
      </w:r>
      <w:r>
        <w:t xml:space="preserve">GAM</w:t>
      </w:r>
      <w:r>
        <w:t xml:space="preserve">s with integrated model selection using penalized regression splines and applications to environmental modelling. Ecological Modelling 157, 157–177.</w:t>
      </w:r>
      <w:r>
        <w:t xml:space="preserve"> </w:t>
      </w:r>
      <w:hyperlink r:id="rId126">
        <w:r>
          <w:rPr>
            <w:rStyle w:val="Hyperlink"/>
          </w:rPr>
          <w:t xml:space="preserve">https://doi.org/10.1016/S0304-3800(02)00193-X</w:t>
        </w:r>
      </w:hyperlink>
    </w:p>
    <w:bookmarkEnd w:id="127"/>
    <w:bookmarkStart w:id="128" w:name="ref-Yang20"/>
    <w:p>
      <w:pPr>
        <w:pStyle w:val="Bibliography"/>
      </w:pPr>
      <w:r>
        <w:t xml:space="preserve">Yang, G., Moyer, D.L., 2020. Estimation of nonlinear water-quality trends in high-frequency monitoring data. Science of The Total Environment 715, 10.1016/j.scitotenv.2020.136686.</w:t>
      </w:r>
    </w:p>
    <w:bookmarkEnd w:id="128"/>
    <w:bookmarkStart w:id="129" w:name="ref-Zuur09"/>
    <w:p>
      <w:pPr>
        <w:pStyle w:val="Bibliography"/>
      </w:pPr>
      <w:r>
        <w:t xml:space="preserve">Zuur, A.F., Ieno, E.N., Walker, N.J., Saveliev, A.A., Smith, G.M., 2009. Mixed effects models and extensions in ecology with r. Springer-Verlag, New York, New York.</w:t>
      </w:r>
    </w:p>
    <w:bookmarkEnd w:id="129"/>
    <w:bookmarkEnd w:id="130"/>
    <w:bookmarkEnd w:id="131"/>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79" Target="https://doi.org/10.1002/env.751" TargetMode="External" /><Relationship Type="http://schemas.openxmlformats.org/officeDocument/2006/relationships/hyperlink" Id="rId75" Target="https://doi.org/10.1002/sim.5471" TargetMode="External" /><Relationship Type="http://schemas.openxmlformats.org/officeDocument/2006/relationships/hyperlink" Id="rId110" Target="https://doi.org/10.1002/sim.8362" TargetMode="External" /><Relationship Type="http://schemas.openxmlformats.org/officeDocument/2006/relationships/hyperlink" Id="rId57" Target="https://doi.org/10.1007/s10666-015-9452-8" TargetMode="External" /><Relationship Type="http://schemas.openxmlformats.org/officeDocument/2006/relationships/hyperlink" Id="rId69" Target="https://doi.org/10.1007/s12237-020-00737-w" TargetMode="External" /><Relationship Type="http://schemas.openxmlformats.org/officeDocument/2006/relationships/hyperlink" Id="rId126" Target="https://doi.org/10.1016/S0304-3800(02)00193-X" TargetMode="External" /><Relationship Type="http://schemas.openxmlformats.org/officeDocument/2006/relationships/hyperlink" Id="rId101" Target="https://doi.org/10.1016/j.asr.2011.11.034" TargetMode="External" /><Relationship Type="http://schemas.openxmlformats.org/officeDocument/2006/relationships/hyperlink" Id="rId88" Target="https://doi.org/10.1016/j.atmosenv.2004.02.026" TargetMode="External" /><Relationship Type="http://schemas.openxmlformats.org/officeDocument/2006/relationships/hyperlink" Id="rId104" Target="https://doi.org/10.1016/j.atmosenv.2010.11.051" TargetMode="External" /><Relationship Type="http://schemas.openxmlformats.org/officeDocument/2006/relationships/hyperlink" Id="rId73" Target="https://doi.org/10.1016/j.ecocom.2018.07.005" TargetMode="External" /><Relationship Type="http://schemas.openxmlformats.org/officeDocument/2006/relationships/hyperlink" Id="rId59" Target="https://doi.org/10.1016/j.ecss.2018.06.021" TargetMode="External" /><Relationship Type="http://schemas.openxmlformats.org/officeDocument/2006/relationships/hyperlink" Id="rId82" Target="https://doi.org/10.1016/j.envsoft.2015.07.017" TargetMode="External" /><Relationship Type="http://schemas.openxmlformats.org/officeDocument/2006/relationships/hyperlink" Id="rId99" Target="https://doi.org/10.1016/j.envsoft.2019.03.027" TargetMode="External" /><Relationship Type="http://schemas.openxmlformats.org/officeDocument/2006/relationships/hyperlink" Id="rId93" Target="https://doi.org/10.1016/j.hal.2017.01.011" TargetMode="External" /><Relationship Type="http://schemas.openxmlformats.org/officeDocument/2006/relationships/hyperlink" Id="rId107" Target="https://doi.org/10.1016/j.rse.2014.05.016" TargetMode="External" /><Relationship Type="http://schemas.openxmlformats.org/officeDocument/2006/relationships/hyperlink" Id="rId114" Target="https://doi.org/10.1021/es001159e" TargetMode="External" /><Relationship Type="http://schemas.openxmlformats.org/officeDocument/2006/relationships/hyperlink" Id="rId116" Target="https://doi.org/10.1021/es5062648" TargetMode="External" /><Relationship Type="http://schemas.openxmlformats.org/officeDocument/2006/relationships/hyperlink" Id="rId97" Target="https://doi.org/10.1029/2007WR006191" TargetMode="External" /><Relationship Type="http://schemas.openxmlformats.org/officeDocument/2006/relationships/hyperlink" Id="rId64" Target="https://doi.org/10.1029/2012RG000397" TargetMode="External" /><Relationship Type="http://schemas.openxmlformats.org/officeDocument/2006/relationships/hyperlink" Id="rId112" Target="https://doi.org/10.1061/(ASCE)0733-9496(2003)129:4(330)" TargetMode="External" /><Relationship Type="http://schemas.openxmlformats.org/officeDocument/2006/relationships/hyperlink" Id="rId124" Target="https://doi.org/10.1111/1467-9868.00374" TargetMode="External" /><Relationship Type="http://schemas.openxmlformats.org/officeDocument/2006/relationships/hyperlink" Id="rId61" Target="https://doi.org/10.1111/1752-1688.12489" TargetMode="External" /><Relationship Type="http://schemas.openxmlformats.org/officeDocument/2006/relationships/hyperlink" Id="rId91" Target="https://doi.org/10.1111/gcb.13623" TargetMode="External" /><Relationship Type="http://schemas.openxmlformats.org/officeDocument/2006/relationships/hyperlink" Id="rId95" Target="https://doi.org/10.1111/j.1600-0706.2013.00970.x" TargetMode="External" /><Relationship Type="http://schemas.openxmlformats.org/officeDocument/2006/relationships/hyperlink" Id="rId122" Target="https://doi.org/10.1198/016214504000000980" TargetMode="External" /><Relationship Type="http://schemas.openxmlformats.org/officeDocument/2006/relationships/hyperlink" Id="rId118" Target="https://doi.org/10.1890/1051-0761(1998)008[0246:MFPRRO]2.0.CO;2" TargetMode="External" /><Relationship Type="http://schemas.openxmlformats.org/officeDocument/2006/relationships/hyperlink" Id="rId29" Target="https://nutrient-data.sfei.org/apps/SFbaytrends/" TargetMode="External" /><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79" Target="https://doi.org/10.1002/env.751" TargetMode="External" /><Relationship Type="http://schemas.openxmlformats.org/officeDocument/2006/relationships/hyperlink" Id="rId75" Target="https://doi.org/10.1002/sim.5471" TargetMode="External" /><Relationship Type="http://schemas.openxmlformats.org/officeDocument/2006/relationships/hyperlink" Id="rId110" Target="https://doi.org/10.1002/sim.8362" TargetMode="External" /><Relationship Type="http://schemas.openxmlformats.org/officeDocument/2006/relationships/hyperlink" Id="rId57" Target="https://doi.org/10.1007/s10666-015-9452-8" TargetMode="External" /><Relationship Type="http://schemas.openxmlformats.org/officeDocument/2006/relationships/hyperlink" Id="rId69" Target="https://doi.org/10.1007/s12237-020-00737-w" TargetMode="External" /><Relationship Type="http://schemas.openxmlformats.org/officeDocument/2006/relationships/hyperlink" Id="rId126" Target="https://doi.org/10.1016/S0304-3800(02)00193-X" TargetMode="External" /><Relationship Type="http://schemas.openxmlformats.org/officeDocument/2006/relationships/hyperlink" Id="rId101" Target="https://doi.org/10.1016/j.asr.2011.11.034" TargetMode="External" /><Relationship Type="http://schemas.openxmlformats.org/officeDocument/2006/relationships/hyperlink" Id="rId88" Target="https://doi.org/10.1016/j.atmosenv.2004.02.026" TargetMode="External" /><Relationship Type="http://schemas.openxmlformats.org/officeDocument/2006/relationships/hyperlink" Id="rId104" Target="https://doi.org/10.1016/j.atmosenv.2010.11.051" TargetMode="External" /><Relationship Type="http://schemas.openxmlformats.org/officeDocument/2006/relationships/hyperlink" Id="rId73" Target="https://doi.org/10.1016/j.ecocom.2018.07.005" TargetMode="External" /><Relationship Type="http://schemas.openxmlformats.org/officeDocument/2006/relationships/hyperlink" Id="rId59" Target="https://doi.org/10.1016/j.ecss.2018.06.021" TargetMode="External" /><Relationship Type="http://schemas.openxmlformats.org/officeDocument/2006/relationships/hyperlink" Id="rId82" Target="https://doi.org/10.1016/j.envsoft.2015.07.017" TargetMode="External" /><Relationship Type="http://schemas.openxmlformats.org/officeDocument/2006/relationships/hyperlink" Id="rId99" Target="https://doi.org/10.1016/j.envsoft.2019.03.027" TargetMode="External" /><Relationship Type="http://schemas.openxmlformats.org/officeDocument/2006/relationships/hyperlink" Id="rId93" Target="https://doi.org/10.1016/j.hal.2017.01.011" TargetMode="External" /><Relationship Type="http://schemas.openxmlformats.org/officeDocument/2006/relationships/hyperlink" Id="rId107" Target="https://doi.org/10.1016/j.rse.2014.05.016" TargetMode="External" /><Relationship Type="http://schemas.openxmlformats.org/officeDocument/2006/relationships/hyperlink" Id="rId114" Target="https://doi.org/10.1021/es001159e" TargetMode="External" /><Relationship Type="http://schemas.openxmlformats.org/officeDocument/2006/relationships/hyperlink" Id="rId116" Target="https://doi.org/10.1021/es5062648" TargetMode="External" /><Relationship Type="http://schemas.openxmlformats.org/officeDocument/2006/relationships/hyperlink" Id="rId97" Target="https://doi.org/10.1029/2007WR006191" TargetMode="External" /><Relationship Type="http://schemas.openxmlformats.org/officeDocument/2006/relationships/hyperlink" Id="rId64" Target="https://doi.org/10.1029/2012RG000397" TargetMode="External" /><Relationship Type="http://schemas.openxmlformats.org/officeDocument/2006/relationships/hyperlink" Id="rId112" Target="https://doi.org/10.1061/(ASCE)0733-9496(2003)129:4(330)" TargetMode="External" /><Relationship Type="http://schemas.openxmlformats.org/officeDocument/2006/relationships/hyperlink" Id="rId124" Target="https://doi.org/10.1111/1467-9868.00374" TargetMode="External" /><Relationship Type="http://schemas.openxmlformats.org/officeDocument/2006/relationships/hyperlink" Id="rId61" Target="https://doi.org/10.1111/1752-1688.12489" TargetMode="External" /><Relationship Type="http://schemas.openxmlformats.org/officeDocument/2006/relationships/hyperlink" Id="rId91" Target="https://doi.org/10.1111/gcb.13623" TargetMode="External" /><Relationship Type="http://schemas.openxmlformats.org/officeDocument/2006/relationships/hyperlink" Id="rId95" Target="https://doi.org/10.1111/j.1600-0706.2013.00970.x" TargetMode="External" /><Relationship Type="http://schemas.openxmlformats.org/officeDocument/2006/relationships/hyperlink" Id="rId122" Target="https://doi.org/10.1198/016214504000000980" TargetMode="External" /><Relationship Type="http://schemas.openxmlformats.org/officeDocument/2006/relationships/hyperlink" Id="rId118" Target="https://doi.org/10.1890/1051-0761(1998)008[0246:MFPRRO]2.0.CO;2" TargetMode="External" /><Relationship Type="http://schemas.openxmlformats.org/officeDocument/2006/relationships/hyperlink" Id="rId29" Target="https://nutrient-data.sfei.org/apps/SFbaytrends/" TargetMode="External" /><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2021-06-25T21:19:56Z</dcterms:created>
  <dcterms:modified xsi:type="dcterms:W3CDTF">2021-06-25T21:19:56Z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science-of-the-total-environment.csl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